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C9" w:rsidRDefault="000C5FC9" w:rsidP="00FF71DE">
      <w:pPr>
        <w:pStyle w:val="Header"/>
        <w:tabs>
          <w:tab w:val="right" w:pos="7667"/>
        </w:tabs>
        <w:ind w:right="-870"/>
        <w:jc w:val="right"/>
        <w:rPr>
          <w:sz w:val="18"/>
          <w:szCs w:val="18"/>
        </w:rPr>
      </w:pPr>
    </w:p>
    <w:p w:rsidR="000C5FC9" w:rsidRPr="00E64FCE" w:rsidRDefault="000C5FC9" w:rsidP="00FF71DE">
      <w:pPr>
        <w:pStyle w:val="Header"/>
        <w:tabs>
          <w:tab w:val="right" w:pos="7667"/>
        </w:tabs>
        <w:ind w:right="-870"/>
        <w:jc w:val="right"/>
        <w:rPr>
          <w:sz w:val="18"/>
          <w:szCs w:val="18"/>
        </w:rPr>
      </w:pPr>
      <w:r w:rsidRPr="00E64FCE">
        <w:rPr>
          <w:sz w:val="18"/>
          <w:szCs w:val="18"/>
        </w:rPr>
        <w:t>НЕОФИЦИАЛЬНЫЙ ПЕРЕВОД</w:t>
      </w:r>
    </w:p>
    <w:p w:rsidR="000C5FC9" w:rsidRPr="00E64FCE" w:rsidRDefault="000C5FC9" w:rsidP="00FF71DE">
      <w:pPr>
        <w:pStyle w:val="Header"/>
        <w:tabs>
          <w:tab w:val="right" w:pos="7667"/>
        </w:tabs>
        <w:ind w:right="-870"/>
        <w:jc w:val="right"/>
        <w:rPr>
          <w:sz w:val="18"/>
          <w:szCs w:val="18"/>
        </w:rPr>
      </w:pPr>
    </w:p>
    <w:p w:rsidR="000C5FC9" w:rsidRPr="00E64FCE" w:rsidRDefault="000C5FC9" w:rsidP="00FF71DE">
      <w:pPr>
        <w:pStyle w:val="Header"/>
        <w:tabs>
          <w:tab w:val="right" w:pos="7667"/>
        </w:tabs>
        <w:spacing w:line="360" w:lineRule="auto"/>
        <w:ind w:right="-870"/>
        <w:jc w:val="right"/>
        <w:rPr>
          <w:sz w:val="18"/>
          <w:szCs w:val="18"/>
        </w:rPr>
      </w:pPr>
      <w:r w:rsidRPr="00E64FCE">
        <w:rPr>
          <w:sz w:val="18"/>
          <w:szCs w:val="18"/>
        </w:rPr>
        <w:t xml:space="preserve">АУТЕНТИЧНЫЙ ТЕКСТ РАЗМЕЩЕН </w:t>
      </w:r>
    </w:p>
    <w:p w:rsidR="000C5FC9" w:rsidRPr="00E64FCE" w:rsidRDefault="000C5FC9" w:rsidP="00FF71DE">
      <w:pPr>
        <w:pStyle w:val="Header"/>
        <w:tabs>
          <w:tab w:val="right" w:pos="7667"/>
        </w:tabs>
        <w:spacing w:line="360" w:lineRule="auto"/>
        <w:ind w:right="-870"/>
        <w:jc w:val="right"/>
        <w:rPr>
          <w:caps/>
          <w:sz w:val="18"/>
          <w:szCs w:val="18"/>
        </w:rPr>
      </w:pPr>
      <w:r w:rsidRPr="00E64FCE">
        <w:rPr>
          <w:sz w:val="18"/>
          <w:szCs w:val="18"/>
        </w:rPr>
        <w:t xml:space="preserve">НА САЙТЕ </w:t>
      </w:r>
      <w:r w:rsidRPr="00E64FCE">
        <w:rPr>
          <w:caps/>
          <w:sz w:val="18"/>
          <w:szCs w:val="18"/>
        </w:rPr>
        <w:t>Европейского Суда по правам человека</w:t>
      </w:r>
    </w:p>
    <w:p w:rsidR="000C5FC9" w:rsidRPr="00E64FCE" w:rsidRDefault="000C5FC9" w:rsidP="00FF71DE">
      <w:pPr>
        <w:pStyle w:val="Header"/>
        <w:tabs>
          <w:tab w:val="right" w:pos="7667"/>
        </w:tabs>
        <w:ind w:right="-870"/>
        <w:jc w:val="right"/>
        <w:rPr>
          <w:sz w:val="18"/>
          <w:szCs w:val="18"/>
        </w:rPr>
      </w:pPr>
      <w:hyperlink r:id="rId7" w:history="1">
        <w:r w:rsidRPr="00E64FCE">
          <w:rPr>
            <w:rStyle w:val="Hyperlink"/>
            <w:rFonts w:eastAsia="MS Gothic"/>
            <w:sz w:val="18"/>
            <w:szCs w:val="18"/>
            <w:lang w:val="en-US"/>
          </w:rPr>
          <w:t>www</w:t>
        </w:r>
        <w:r w:rsidRPr="00E64FCE">
          <w:rPr>
            <w:rStyle w:val="Hyperlink"/>
            <w:rFonts w:eastAsia="MS Gothic"/>
            <w:sz w:val="18"/>
            <w:szCs w:val="18"/>
          </w:rPr>
          <w:t>.</w:t>
        </w:r>
        <w:r w:rsidRPr="00E64FCE">
          <w:rPr>
            <w:rStyle w:val="Hyperlink"/>
            <w:rFonts w:eastAsia="MS Gothic"/>
            <w:sz w:val="18"/>
            <w:szCs w:val="18"/>
            <w:lang w:val="en-US"/>
          </w:rPr>
          <w:t>echr</w:t>
        </w:r>
        <w:r w:rsidRPr="00E64FCE">
          <w:rPr>
            <w:rStyle w:val="Hyperlink"/>
            <w:rFonts w:eastAsia="MS Gothic"/>
            <w:sz w:val="18"/>
            <w:szCs w:val="18"/>
          </w:rPr>
          <w:t>.</w:t>
        </w:r>
        <w:r w:rsidRPr="00E64FCE">
          <w:rPr>
            <w:rStyle w:val="Hyperlink"/>
            <w:rFonts w:eastAsia="MS Gothic"/>
            <w:sz w:val="18"/>
            <w:szCs w:val="18"/>
            <w:lang w:val="en-US"/>
          </w:rPr>
          <w:t>coe</w:t>
        </w:r>
        <w:r w:rsidRPr="00E64FCE">
          <w:rPr>
            <w:rStyle w:val="Hyperlink"/>
            <w:rFonts w:eastAsia="MS Gothic"/>
            <w:sz w:val="18"/>
            <w:szCs w:val="18"/>
          </w:rPr>
          <w:t>.</w:t>
        </w:r>
        <w:r w:rsidRPr="00E64FCE">
          <w:rPr>
            <w:rStyle w:val="Hyperlink"/>
            <w:rFonts w:eastAsia="MS Gothic"/>
            <w:sz w:val="18"/>
            <w:szCs w:val="18"/>
            <w:lang w:val="en-US"/>
          </w:rPr>
          <w:t>int</w:t>
        </w:r>
      </w:hyperlink>
    </w:p>
    <w:p w:rsidR="000C5FC9" w:rsidRPr="00E64FCE" w:rsidRDefault="000C5FC9" w:rsidP="00FF71DE">
      <w:pPr>
        <w:pStyle w:val="Header"/>
        <w:tabs>
          <w:tab w:val="right" w:pos="7667"/>
        </w:tabs>
        <w:ind w:right="-870"/>
        <w:jc w:val="right"/>
        <w:rPr>
          <w:sz w:val="18"/>
          <w:szCs w:val="18"/>
        </w:rPr>
      </w:pPr>
    </w:p>
    <w:p w:rsidR="000C5FC9" w:rsidRPr="00E64FCE" w:rsidRDefault="000C5FC9" w:rsidP="00FF71DE">
      <w:pPr>
        <w:pStyle w:val="Header"/>
        <w:tabs>
          <w:tab w:val="right" w:pos="7667"/>
        </w:tabs>
        <w:ind w:right="-870"/>
        <w:jc w:val="right"/>
        <w:rPr>
          <w:sz w:val="18"/>
          <w:szCs w:val="18"/>
        </w:rPr>
      </w:pPr>
      <w:r w:rsidRPr="00E64FCE">
        <w:rPr>
          <w:caps/>
          <w:sz w:val="18"/>
          <w:szCs w:val="18"/>
        </w:rPr>
        <w:t xml:space="preserve">в разделе </w:t>
      </w:r>
      <w:r w:rsidRPr="00E64FCE">
        <w:rPr>
          <w:caps/>
          <w:sz w:val="18"/>
          <w:szCs w:val="18"/>
          <w:lang w:val="en-US"/>
        </w:rPr>
        <w:t>HUDOC</w:t>
      </w:r>
    </w:p>
    <w:p w:rsidR="000C5FC9" w:rsidRPr="00E64FCE" w:rsidRDefault="000C5FC9" w:rsidP="00FF71DE">
      <w:pPr>
        <w:jc w:val="center"/>
        <w:rPr>
          <w:sz w:val="18"/>
          <w:szCs w:val="18"/>
        </w:rPr>
      </w:pPr>
    </w:p>
    <w:p w:rsidR="000C5FC9" w:rsidRPr="00780696" w:rsidRDefault="000C5FC9" w:rsidP="00FF71DE">
      <w:pPr>
        <w:jc w:val="center"/>
      </w:pPr>
    </w:p>
    <w:p w:rsidR="000C5FC9" w:rsidRDefault="000C5FC9" w:rsidP="00DF0549">
      <w:pPr>
        <w:pStyle w:val="ECHRDecisionBody"/>
      </w:pPr>
    </w:p>
    <w:p w:rsidR="000C5FC9" w:rsidRPr="00563E83" w:rsidRDefault="000C5FC9" w:rsidP="00DF0549">
      <w:pPr>
        <w:pStyle w:val="ECHRDecisionBody"/>
      </w:pPr>
    </w:p>
    <w:p w:rsidR="000C5FC9" w:rsidRPr="00563E83" w:rsidRDefault="000C5FC9" w:rsidP="00014566">
      <w:pPr>
        <w:jc w:val="center"/>
      </w:pPr>
      <w:r>
        <w:t>ПЕРВАЯ СЕКЦИЯ</w:t>
      </w:r>
    </w:p>
    <w:p w:rsidR="000C5FC9" w:rsidRDefault="000C5FC9" w:rsidP="00014566">
      <w:pPr>
        <w:jc w:val="center"/>
      </w:pPr>
    </w:p>
    <w:p w:rsidR="000C5FC9" w:rsidRDefault="000C5FC9" w:rsidP="00014566">
      <w:pPr>
        <w:jc w:val="center"/>
      </w:pPr>
    </w:p>
    <w:p w:rsidR="000C5FC9" w:rsidRDefault="000C5FC9" w:rsidP="00014566">
      <w:pPr>
        <w:jc w:val="center"/>
      </w:pPr>
    </w:p>
    <w:p w:rsidR="000C5FC9" w:rsidRPr="00563E83" w:rsidRDefault="000C5FC9" w:rsidP="00014566">
      <w:pPr>
        <w:jc w:val="center"/>
      </w:pPr>
    </w:p>
    <w:p w:rsidR="000C5FC9" w:rsidRPr="00563E83" w:rsidRDefault="000C5FC9" w:rsidP="00014566">
      <w:pPr>
        <w:jc w:val="center"/>
        <w:rPr>
          <w:b/>
        </w:rPr>
      </w:pPr>
      <w:bookmarkStart w:id="0" w:name="To"/>
      <w:r>
        <w:rPr>
          <w:b/>
        </w:rPr>
        <w:t xml:space="preserve">ДЕЛО </w:t>
      </w:r>
      <w:bookmarkEnd w:id="0"/>
      <w:r>
        <w:rPr>
          <w:b/>
        </w:rPr>
        <w:t>«МАКОВОЗ против РОССИИ»</w:t>
      </w:r>
    </w:p>
    <w:p w:rsidR="000C5FC9" w:rsidRPr="00563E83" w:rsidRDefault="000C5FC9" w:rsidP="00014566">
      <w:pPr>
        <w:jc w:val="center"/>
      </w:pPr>
    </w:p>
    <w:p w:rsidR="000C5FC9" w:rsidRPr="00563E83" w:rsidRDefault="000C5FC9" w:rsidP="00014566">
      <w:pPr>
        <w:jc w:val="center"/>
        <w:rPr>
          <w:i/>
        </w:rPr>
      </w:pPr>
      <w:r>
        <w:rPr>
          <w:i/>
        </w:rPr>
        <w:t>(Жалоба № 10011/10)</w:t>
      </w:r>
    </w:p>
    <w:p w:rsidR="000C5FC9" w:rsidRPr="00563E83" w:rsidRDefault="000C5FC9" w:rsidP="00014566">
      <w:pPr>
        <w:jc w:val="center"/>
      </w:pPr>
    </w:p>
    <w:p w:rsidR="000C5FC9" w:rsidRPr="00563E83" w:rsidRDefault="000C5FC9" w:rsidP="00014566">
      <w:pPr>
        <w:jc w:val="center"/>
      </w:pPr>
    </w:p>
    <w:p w:rsidR="000C5FC9" w:rsidRPr="00563E83" w:rsidRDefault="000C5FC9" w:rsidP="00014566">
      <w:pPr>
        <w:jc w:val="center"/>
      </w:pPr>
    </w:p>
    <w:p w:rsidR="000C5FC9" w:rsidRDefault="000C5FC9" w:rsidP="00014566">
      <w:pPr>
        <w:jc w:val="center"/>
      </w:pPr>
    </w:p>
    <w:p w:rsidR="000C5FC9" w:rsidRDefault="000C5FC9" w:rsidP="00014566">
      <w:pPr>
        <w:jc w:val="center"/>
      </w:pPr>
    </w:p>
    <w:p w:rsidR="000C5FC9" w:rsidRDefault="000C5FC9" w:rsidP="00014566">
      <w:pPr>
        <w:jc w:val="center"/>
      </w:pPr>
    </w:p>
    <w:p w:rsidR="000C5FC9" w:rsidRDefault="000C5FC9" w:rsidP="00014566">
      <w:pPr>
        <w:jc w:val="center"/>
      </w:pPr>
    </w:p>
    <w:p w:rsidR="000C5FC9" w:rsidRPr="00563E83" w:rsidRDefault="000C5FC9" w:rsidP="00014566">
      <w:pPr>
        <w:jc w:val="center"/>
      </w:pPr>
    </w:p>
    <w:p w:rsidR="000C5FC9" w:rsidRPr="00614900" w:rsidRDefault="000C5FC9" w:rsidP="00614900">
      <w:pPr>
        <w:jc w:val="center"/>
        <w:rPr>
          <w:szCs w:val="24"/>
        </w:rPr>
      </w:pPr>
      <w:r>
        <w:t>ПОСТАНОВЛЕНИЕ</w:t>
      </w:r>
    </w:p>
    <w:p w:rsidR="000C5FC9" w:rsidRDefault="000C5FC9" w:rsidP="00614900">
      <w:pPr>
        <w:pStyle w:val="JuCase"/>
        <w:ind w:firstLine="0"/>
        <w:jc w:val="center"/>
        <w:rPr>
          <w:b w:val="0"/>
        </w:rPr>
      </w:pPr>
    </w:p>
    <w:p w:rsidR="000C5FC9" w:rsidRDefault="000C5FC9" w:rsidP="00614900">
      <w:pPr>
        <w:pStyle w:val="JuCase"/>
        <w:ind w:firstLine="0"/>
        <w:jc w:val="center"/>
        <w:rPr>
          <w:b w:val="0"/>
        </w:rPr>
      </w:pPr>
    </w:p>
    <w:p w:rsidR="000C5FC9" w:rsidRDefault="000C5FC9" w:rsidP="00614900">
      <w:pPr>
        <w:pStyle w:val="JuCase"/>
        <w:ind w:firstLine="0"/>
        <w:jc w:val="center"/>
        <w:rPr>
          <w:b w:val="0"/>
        </w:rPr>
      </w:pPr>
      <w:r>
        <w:rPr>
          <w:b w:val="0"/>
        </w:rPr>
        <w:t>СТРАСБУРГ</w:t>
      </w:r>
    </w:p>
    <w:p w:rsidR="000C5FC9" w:rsidRDefault="000C5FC9" w:rsidP="00614900">
      <w:pPr>
        <w:pStyle w:val="JuCase"/>
        <w:ind w:firstLine="0"/>
        <w:jc w:val="center"/>
        <w:rPr>
          <w:b w:val="0"/>
        </w:rPr>
      </w:pPr>
    </w:p>
    <w:p w:rsidR="000C5FC9" w:rsidRDefault="000C5FC9" w:rsidP="00614900">
      <w:pPr>
        <w:pStyle w:val="JuCase"/>
        <w:ind w:firstLine="0"/>
        <w:jc w:val="center"/>
        <w:rPr>
          <w:b w:val="0"/>
        </w:rPr>
      </w:pPr>
      <w:r>
        <w:rPr>
          <w:b w:val="0"/>
        </w:rPr>
        <w:t xml:space="preserve">16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</w:rPr>
          <w:t>2014 г</w:t>
        </w:r>
      </w:smartTag>
      <w:r>
        <w:rPr>
          <w:b w:val="0"/>
        </w:rPr>
        <w:t>.</w:t>
      </w:r>
    </w:p>
    <w:p w:rsidR="000C5FC9" w:rsidRDefault="000C5FC9" w:rsidP="00614900">
      <w:pPr>
        <w:pStyle w:val="JuCase"/>
        <w:ind w:firstLine="0"/>
        <w:jc w:val="center"/>
        <w:rPr>
          <w:b w:val="0"/>
        </w:rPr>
      </w:pPr>
    </w:p>
    <w:p w:rsidR="000C5FC9" w:rsidRPr="00614900" w:rsidRDefault="000C5FC9" w:rsidP="00D42A19">
      <w:pPr>
        <w:pStyle w:val="JuCase"/>
        <w:ind w:firstLine="0"/>
        <w:jc w:val="center"/>
        <w:rPr>
          <w:b w:val="0"/>
        </w:rPr>
        <w:sectPr w:rsidR="000C5FC9" w:rsidRPr="00614900" w:rsidSect="006149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  <w:r>
        <w:rPr>
          <w:b w:val="0"/>
          <w:i/>
          <w:sz w:val="22"/>
        </w:rPr>
        <w:t>Настоящее постановление вступило в силу, но может быть подвергнуто редакционной правке.</w:t>
      </w:r>
    </w:p>
    <w:p w:rsidR="000C5FC9" w:rsidRPr="00563E83" w:rsidRDefault="000C5FC9" w:rsidP="00D60D87">
      <w:pPr>
        <w:pStyle w:val="JuCase"/>
        <w:rPr>
          <w:bCs/>
        </w:rPr>
      </w:pPr>
      <w:r>
        <w:t>По делу «Маковоз против России»,</w:t>
      </w:r>
    </w:p>
    <w:p w:rsidR="000C5FC9" w:rsidRPr="00563E83" w:rsidRDefault="000C5FC9" w:rsidP="005E2A43">
      <w:pPr>
        <w:pStyle w:val="ECHRPara"/>
      </w:pPr>
      <w:r>
        <w:t>Европейский Суд по правам человека (Первая Секция), заседая Комитетом, в состав которого вошли:</w:t>
      </w:r>
    </w:p>
    <w:p w:rsidR="000C5FC9" w:rsidRPr="00563E83" w:rsidRDefault="000C5FC9" w:rsidP="00DF0549">
      <w:pPr>
        <w:pStyle w:val="ECHRDecisionBody"/>
      </w:pPr>
      <w:r>
        <w:tab/>
        <w:t xml:space="preserve">Ханлар Гаджиев, </w:t>
      </w:r>
      <w:r>
        <w:rPr>
          <w:i/>
        </w:rPr>
        <w:t>Председатель</w:t>
      </w:r>
      <w:r>
        <w:t xml:space="preserve">, </w:t>
      </w:r>
      <w:r>
        <w:br/>
      </w:r>
      <w:r>
        <w:tab/>
        <w:t xml:space="preserve">Юлия Лаффранк, </w:t>
      </w:r>
      <w:r>
        <w:br/>
      </w:r>
      <w:r>
        <w:tab/>
        <w:t xml:space="preserve">Дмитрий Дедов, </w:t>
      </w:r>
      <w:r>
        <w:rPr>
          <w:i/>
        </w:rPr>
        <w:t>судьи</w:t>
      </w:r>
      <w:r>
        <w:t xml:space="preserve">,  </w:t>
      </w:r>
      <w:r>
        <w:br/>
        <w:t>а также Сорен Пребенсен</w:t>
      </w:r>
      <w:r>
        <w:rPr>
          <w:i/>
        </w:rPr>
        <w:t>, Исполняющий обязанности Заместителя Секретаря Секции,</w:t>
      </w:r>
    </w:p>
    <w:p w:rsidR="000C5FC9" w:rsidRPr="00563E83" w:rsidRDefault="000C5FC9" w:rsidP="00C621C2">
      <w:pPr>
        <w:pStyle w:val="ECHRPara"/>
      </w:pPr>
      <w:r>
        <w:t xml:space="preserve">проведя 23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заседание за закрытыми дверями,</w:t>
      </w:r>
    </w:p>
    <w:p w:rsidR="000C5FC9" w:rsidRPr="00563E83" w:rsidRDefault="000C5FC9" w:rsidP="00C621C2">
      <w:pPr>
        <w:pStyle w:val="ECHRPara"/>
      </w:pPr>
      <w:r>
        <w:t>выносит следующее постановление, утвержденное в вышеуказанный день:</w:t>
      </w:r>
    </w:p>
    <w:p w:rsidR="000C5FC9" w:rsidRPr="007E2844" w:rsidRDefault="000C5FC9" w:rsidP="00014566">
      <w:pPr>
        <w:pStyle w:val="ECHRTitle1"/>
      </w:pPr>
      <w:r>
        <w:t>ПРОЦЕДУРА</w:t>
      </w:r>
    </w:p>
    <w:p w:rsidR="000C5FC9" w:rsidRPr="007E2844" w:rsidRDefault="000C5FC9" w:rsidP="00C621C2">
      <w:pPr>
        <w:pStyle w:val="ECHRPara"/>
      </w:pPr>
      <w:fldSimple w:instr=" SEQ level0 \*arabic ">
        <w:r>
          <w:rPr>
            <w:noProof/>
          </w:rPr>
          <w:t>1</w:t>
        </w:r>
      </w:fldSimple>
      <w:r>
        <w:t xml:space="preserve">.  Дело было инициировано на основании жалобы (№ 10011/10), поданной в Суд против Российской Федерации в соответствии со статьей 34 Конвенции о защите прав человека и основных свобод (далее - «Конвенция») 1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гражданином Российской Федерации Маковозом Олегом Юрьевичем (далее - «заявитель»).</w:t>
      </w:r>
    </w:p>
    <w:p w:rsidR="000C5FC9" w:rsidRPr="007E2844" w:rsidRDefault="000C5FC9" w:rsidP="00C621C2">
      <w:pPr>
        <w:pStyle w:val="ECHRPara"/>
      </w:pPr>
      <w:fldSimple w:instr=" SEQ level0 \*arabic ">
        <w:r>
          <w:rPr>
            <w:noProof/>
          </w:rPr>
          <w:t>2</w:t>
        </w:r>
      </w:fldSimple>
      <w:r>
        <w:t>.  Интересы заявителя в Суде представляли Т. Клюкова, а впоследствии М. Белинская, адвокаты практикующие в г. Санкт-Петербурге. Интересы Вла</w:t>
      </w:r>
      <w:bookmarkStart w:id="1" w:name="_GoBack"/>
      <w:bookmarkEnd w:id="1"/>
      <w:r>
        <w:t>стей Российской Федерации (далее - «Власти») представлял Г. Матюшкин, Уполномоченный Российской Федерации при Европейском Суде по правам человека.</w:t>
      </w:r>
    </w:p>
    <w:p w:rsidR="000C5FC9" w:rsidRPr="007E2844" w:rsidRDefault="000C5FC9" w:rsidP="00C621C2">
      <w:pPr>
        <w:pStyle w:val="ECHRPara"/>
      </w:pPr>
      <w:fldSimple w:instr=" SEQ level0 \*arabic ">
        <w:r>
          <w:rPr>
            <w:noProof/>
          </w:rPr>
          <w:t>3</w:t>
        </w:r>
      </w:fldSimple>
      <w:r>
        <w:t>.  13 апреля 2012 года данная жалоба была коммуницирована Властям.</w:t>
      </w:r>
    </w:p>
    <w:p w:rsidR="000C5FC9" w:rsidRPr="007E2844" w:rsidRDefault="000C5FC9" w:rsidP="00294C92">
      <w:pPr>
        <w:pStyle w:val="ECHRTitle1"/>
      </w:pPr>
      <w:r>
        <w:t>ФАКТЫ</w:t>
      </w:r>
    </w:p>
    <w:p w:rsidR="000C5FC9" w:rsidRPr="007E2844" w:rsidRDefault="000C5FC9" w:rsidP="00014566">
      <w:pPr>
        <w:pStyle w:val="ECHRHeading1"/>
      </w:pPr>
      <w:r>
        <w:t>I. ОБСТОЯТЕЛЬСТВА ДЕЛА</w:t>
      </w:r>
    </w:p>
    <w:p w:rsidR="000C5FC9" w:rsidRPr="007E2844" w:rsidRDefault="000C5FC9" w:rsidP="007E2844">
      <w:pPr>
        <w:pStyle w:val="ECHRPara"/>
      </w:pPr>
      <w:fldSimple w:instr=" SEQ level0 \*arabic ">
        <w:r>
          <w:rPr>
            <w:noProof/>
          </w:rPr>
          <w:t>4</w:t>
        </w:r>
      </w:fldSimple>
      <w:r>
        <w:t>.  Заявитель, 1968 года рождения, до рассматриваемых событий проживал в г. Санкт-Петербурге.</w:t>
      </w:r>
    </w:p>
    <w:p w:rsidR="000C5FC9" w:rsidRPr="007E2844" w:rsidRDefault="000C5FC9" w:rsidP="007E2844">
      <w:pPr>
        <w:pStyle w:val="ECHRHeading2"/>
      </w:pPr>
      <w:r>
        <w:t>А. Уголовное производство</w:t>
      </w:r>
    </w:p>
    <w:p w:rsidR="000C5FC9" w:rsidRPr="007E2844" w:rsidRDefault="000C5FC9" w:rsidP="00C621C2">
      <w:pPr>
        <w:pStyle w:val="ECHRPara"/>
      </w:pPr>
      <w:fldSimple w:instr=" SEQ level0 \*arabic ">
        <w:r>
          <w:rPr>
            <w:noProof/>
          </w:rPr>
          <w:t>5</w:t>
        </w:r>
      </w:fldSimple>
      <w:r>
        <w:t>.  В 2004 году в отношении заявителя было возбуждено несколько уголовных дел по подозрению в похищении, вымогательстве и покушении на убийство.</w:t>
      </w:r>
    </w:p>
    <w:p w:rsidR="000C5FC9" w:rsidRPr="007E2844" w:rsidRDefault="000C5FC9" w:rsidP="00C621C2">
      <w:pPr>
        <w:pStyle w:val="ECHRPara"/>
      </w:pPr>
      <w:fldSimple w:instr=" SEQ level0 \*arabic ">
        <w:r>
          <w:rPr>
            <w:noProof/>
          </w:rPr>
          <w:t>6</w:t>
        </w:r>
      </w:fldSimple>
      <w:r>
        <w:t>.  Окончательными приговорами от 15 марта 2007 года и 8 октября 2009 года Верховный Суд Российской Федерации признал заявителя виновным и приговорил его к двадцати трем годам лишения свободы.</w:t>
      </w:r>
    </w:p>
    <w:p w:rsidR="000C5FC9" w:rsidRPr="007E2844" w:rsidRDefault="000C5FC9" w:rsidP="007E2844">
      <w:pPr>
        <w:pStyle w:val="ECHRHeading2"/>
      </w:pPr>
      <w:r>
        <w:t>Б.  Условия содержания заявителя под стражей в период с 15 января по 18 февраля 2010 года</w:t>
      </w:r>
    </w:p>
    <w:bookmarkStart w:id="2" w:name="para7"/>
    <w:p w:rsidR="000C5FC9" w:rsidRPr="001E353A" w:rsidRDefault="000C5FC9" w:rsidP="005F3051">
      <w:pPr>
        <w:pStyle w:val="ECHRPara"/>
      </w:pPr>
      <w:r w:rsidRPr="007E2844">
        <w:fldChar w:fldCharType="begin"/>
      </w:r>
      <w:r w:rsidRPr="007E2844">
        <w:instrText xml:space="preserve"> SEQ level0 \*arabic </w:instrText>
      </w:r>
      <w:r w:rsidRPr="007E2844">
        <w:fldChar w:fldCharType="separate"/>
      </w:r>
      <w:r>
        <w:rPr>
          <w:noProof/>
        </w:rPr>
        <w:t>7</w:t>
      </w:r>
      <w:r w:rsidRPr="007E2844">
        <w:fldChar w:fldCharType="end"/>
      </w:r>
      <w:bookmarkEnd w:id="2"/>
      <w:r>
        <w:t xml:space="preserve">.  Со дня задержания (10 марта 2004 года) заявитель содержался в различных местах содержания под стражей в связи с инициированным в его отношении уголовным производством. В частности, 15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заявитель был переведен из госпиталя в СИЗО ИЗ-47/1 г. Санкт-Петербурга, где он содержался до 18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По утверждению заявителя, учреждение было переполнено. Так, в камере 456 площадью </w:t>
      </w:r>
      <w:smartTag w:uri="urn:schemas-microsoft-com:office:smarttags" w:element="metricconverter">
        <w:smartTagPr>
          <w:attr w:name="ProductID" w:val="8 кв. м"/>
        </w:smartTagPr>
        <w:r>
          <w:t>8 кв. м</w:t>
        </w:r>
      </w:smartTag>
      <w:r>
        <w:t>. содержалось до трех заключенных. Заявитель также утверждал, что ему было отказано в оказании необходимой медицинской помощи. В подтверждение своих утверждений заявитель представил несколько фотографий камеры.</w:t>
      </w:r>
    </w:p>
    <w:p w:rsidR="000C5FC9" w:rsidRPr="00563E83" w:rsidRDefault="000C5FC9" w:rsidP="00014566">
      <w:pPr>
        <w:pStyle w:val="ECHRHeading1"/>
      </w:pPr>
      <w:r>
        <w:t>II.  ПРОИЗВОДСТВО В ЕВРОПЕЙСКОМ СУДЕ</w:t>
      </w:r>
    </w:p>
    <w:bookmarkStart w:id="3" w:name="para8"/>
    <w:p w:rsidR="000C5FC9" w:rsidRDefault="000C5FC9" w:rsidP="00C621C2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bookmarkEnd w:id="3"/>
      <w:r>
        <w:t>.  1 февраля 2010 года Т. Клюкова, представлявшая интересы заявителя в то время, подала формуляр, в котором содержалась жалоба на уголовное производство в отношении заявителя. К формуляру прилагалась подписанная заявителем доверенность от 12 января 2010 года, в которой говорилось следующее:</w:t>
      </w:r>
    </w:p>
    <w:p w:rsidR="000C5FC9" w:rsidRDefault="000C5FC9" w:rsidP="00BF103F">
      <w:pPr>
        <w:pStyle w:val="ECHRParaQuote"/>
        <w:jc w:val="center"/>
      </w:pPr>
      <w:r>
        <w:t>«Доверенность</w:t>
      </w:r>
    </w:p>
    <w:p w:rsidR="000C5FC9" w:rsidRDefault="000C5FC9" w:rsidP="00BF103F">
      <w:pPr>
        <w:pStyle w:val="ECHRParaQuote"/>
        <w:jc w:val="center"/>
      </w:pPr>
      <w:r>
        <w:t>[В соответствии с] Правилом 36 Регламента Суда</w:t>
      </w:r>
    </w:p>
    <w:p w:rsidR="000C5FC9" w:rsidRDefault="000C5FC9" w:rsidP="00BF103F">
      <w:pPr>
        <w:pStyle w:val="ECHRParaQuote"/>
      </w:pPr>
      <w:r>
        <w:t>Я, О. Маковоз ... уполномочиваю Т. Клюкову ... представлять меня в Европейском Суде по правам человека ... в связи с моей жалобой против Российской Федерации, поданной в соответствии со статьей 34 Конвенции».</w:t>
      </w:r>
    </w:p>
    <w:p w:rsidR="000C5FC9" w:rsidRDefault="000C5FC9" w:rsidP="00C621C2">
      <w:pPr>
        <w:pStyle w:val="ECHRPara"/>
      </w:pPr>
      <w:fldSimple w:instr=" SEQ level0 \*arabic ">
        <w:r>
          <w:rPr>
            <w:noProof/>
          </w:rPr>
          <w:t>9</w:t>
        </w:r>
      </w:fldSimple>
      <w:r>
        <w:t>.  Письмом от 19 апреля 2010 года Т. Клюкова уведомила Суд о том, что в период с 15 января по конец февраля 2010 года заявитель содержался в СИЗО в Санкт-Петербурге, и описала условия его содержания под стражей. Она также утверждала, что она потеряла связь с заявителем после того, как он покинул это учреждение в неустановленный день в конце февраля 2010 года.</w:t>
      </w:r>
    </w:p>
    <w:bookmarkStart w:id="4" w:name="para10"/>
    <w:p w:rsidR="000C5FC9" w:rsidRPr="00563E83" w:rsidRDefault="000C5FC9" w:rsidP="00C621C2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bookmarkEnd w:id="4"/>
      <w:r>
        <w:t xml:space="preserve">.  В письме от 26 октября 2012 года заявитель также жаловался на условия его содержания в различных местах содержания под стражей в период с 10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по 22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0C5FC9" w:rsidRPr="00563E83" w:rsidRDefault="000C5FC9" w:rsidP="00014566">
      <w:pPr>
        <w:pStyle w:val="ECHRTitle1"/>
      </w:pPr>
      <w:r>
        <w:t>ПРАВО</w:t>
      </w:r>
    </w:p>
    <w:p w:rsidR="000C5FC9" w:rsidRPr="00563E83" w:rsidRDefault="000C5FC9" w:rsidP="00014566">
      <w:pPr>
        <w:pStyle w:val="ECHRHeading1"/>
      </w:pPr>
      <w:r>
        <w:t>I. ПРЕДПОЛАГАЕМОЕ НАРУШЕНИЕ СТАТЬИ 3 КОНВЕНЦИИ</w:t>
      </w:r>
    </w:p>
    <w:p w:rsidR="000C5FC9" w:rsidRPr="00563E83" w:rsidRDefault="000C5FC9" w:rsidP="00C621C2">
      <w:pPr>
        <w:pStyle w:val="ECHRPara"/>
      </w:pPr>
      <w:fldSimple w:instr=" SEQ level0 \*arabic ">
        <w:r>
          <w:rPr>
            <w:noProof/>
          </w:rPr>
          <w:t>11</w:t>
        </w:r>
      </w:fldSimple>
      <w:r>
        <w:t>.  Заявитель жаловался на то, что условия его содержания в следственном изоляторе ИЗ-47/1 в Санкт-Петербурге были бесчеловечными и унижающими достоинство в нарушение статьи 3 Конвенции, которая гласит:</w:t>
      </w:r>
    </w:p>
    <w:p w:rsidR="000C5FC9" w:rsidRPr="00563E83" w:rsidRDefault="000C5FC9" w:rsidP="00014566">
      <w:pPr>
        <w:pStyle w:val="ECHRParaQuote"/>
      </w:pPr>
      <w:r>
        <w:t>«Никто не должен подвергаться ни пыткам, ни бесчеловечному или унижающему достоинство обращению или наказанию».</w:t>
      </w:r>
    </w:p>
    <w:p w:rsidR="000C5FC9" w:rsidRDefault="000C5FC9" w:rsidP="004568E1">
      <w:pPr>
        <w:pStyle w:val="ECHRHeading2"/>
      </w:pPr>
      <w:r>
        <w:t>A.  Возражение Властей о том, что жалоба не была подана должным образом от имени заявителя</w:t>
      </w:r>
    </w:p>
    <w:p w:rsidR="000C5FC9" w:rsidRDefault="000C5FC9" w:rsidP="00846E0C">
      <w:pPr>
        <w:pStyle w:val="ECHRPara"/>
      </w:pPr>
      <w:fldSimple w:instr=" SEQ level0 \*arabic ">
        <w:r>
          <w:rPr>
            <w:noProof/>
          </w:rPr>
          <w:t>12</w:t>
        </w:r>
      </w:fldSimple>
      <w:r>
        <w:t xml:space="preserve">.  Власти утверждали, что Т. Клюкова подала жалобу в течение периода, когда у нее не было связи с заявителем. Это, по мнению властей, означает, что она подала жалобу скорее по собственной инициативе, чем по указанию заявителя, и она не может считаться поданной должным образом от имени заявителя. </w:t>
      </w:r>
    </w:p>
    <w:p w:rsidR="000C5FC9" w:rsidRDefault="000C5FC9" w:rsidP="00846E0C">
      <w:pPr>
        <w:pStyle w:val="ECHRPara"/>
      </w:pPr>
      <w:fldSimple w:instr=" SEQ level0 \*arabic ">
        <w:r>
          <w:rPr>
            <w:noProof/>
          </w:rPr>
          <w:t>13</w:t>
        </w:r>
      </w:fldSimple>
      <w:r>
        <w:t>.  Заявитель не согласился с этим доводом, утверждая, что он уполномочил Т. Клюкову должным образом для подачи жалобы от его имени.</w:t>
      </w:r>
    </w:p>
    <w:p w:rsidR="000C5FC9" w:rsidRPr="00FE6999" w:rsidRDefault="000C5FC9" w:rsidP="00846E0C">
      <w:pPr>
        <w:pStyle w:val="ECHRPara"/>
      </w:pPr>
      <w:fldSimple w:instr=" SEQ level0 \*arabic ">
        <w:r>
          <w:rPr>
            <w:noProof/>
          </w:rPr>
          <w:t>14</w:t>
        </w:r>
      </w:fldSimple>
      <w:r>
        <w:t xml:space="preserve">.  Суд напоминает, что для представителей важно продемонстрировать, что они получили конкретные и подробные указания от предполагаемой жертвы в значении статьи 34 Конвенции, от чьего имени они действуют. Как правило это подтверждается доверенностью или письменным разрешением в соответствии с пунктом 3 статьи 45 Регламента суда (см. решение Европейского Суда от 20 января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по делу «Пост против Нидерландов» (</w:t>
      </w:r>
      <w:r>
        <w:rPr>
          <w:i/>
        </w:rPr>
        <w:t>Post v. the Netherlands)</w:t>
      </w:r>
      <w:r>
        <w:t>, жалоба № 21727/08).</w:t>
      </w:r>
    </w:p>
    <w:p w:rsidR="000C5FC9" w:rsidRDefault="000C5FC9" w:rsidP="00846E0C">
      <w:pPr>
        <w:pStyle w:val="ECHRPara"/>
      </w:pPr>
      <w:fldSimple w:instr=" SEQ level0 \*arabic ">
        <w:r>
          <w:rPr>
            <w:noProof/>
          </w:rPr>
          <w:t>15</w:t>
        </w:r>
      </w:fldSimple>
      <w:r>
        <w:t xml:space="preserve">.  Суд отмечает, что доверенность была представлена. Он также отмечает, что Власти не оспаривали ее подлинность и тот факт, что она была действительна по состоянию на 19 апреля 2010 года, т.е. на дату подачи жалобы, коммуницированной в соответствии со статьей 3. </w:t>
      </w:r>
    </w:p>
    <w:p w:rsidR="000C5FC9" w:rsidRDefault="000C5FC9" w:rsidP="00846E0C">
      <w:pPr>
        <w:pStyle w:val="ECHRPara"/>
      </w:pPr>
      <w:fldSimple w:instr=" SEQ level0 \*arabic ">
        <w:r>
          <w:rPr>
            <w:noProof/>
          </w:rPr>
          <w:t>16</w:t>
        </w:r>
      </w:fldSimple>
      <w:r>
        <w:t xml:space="preserve">.  Суд отмечает, что заявитель уполномочил Т. Клюкову представлять его интересы в Суде. Фактически, ничто в тексте доверенности не ограничивало ее полномочия действовать от его имени до пределов определенных статьей Конвенции или определенных фактов (см. пункт </w:t>
      </w:r>
      <w:r>
        <w:fldChar w:fldCharType="begin"/>
      </w:r>
      <w:r>
        <w:instrText xml:space="preserve"> REF para8 \h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 выше).</w:t>
      </w:r>
    </w:p>
    <w:p w:rsidR="000C5FC9" w:rsidRDefault="000C5FC9" w:rsidP="00846E0C">
      <w:pPr>
        <w:pStyle w:val="ECHRPara"/>
      </w:pPr>
      <w:fldSimple w:instr=" SEQ level0 \*arabic ">
        <w:r>
          <w:rPr>
            <w:noProof/>
          </w:rPr>
          <w:t>17</w:t>
        </w:r>
      </w:fldSimple>
      <w:r>
        <w:t>.  Таким образом Суд убежден в том, что жалоба была подана должным образом, и что Т. Клюкова была должным образом уполномочена представлять интересы заявителя. Следовательно, возражения Властей в этом отношении должны быть отклонены.</w:t>
      </w:r>
    </w:p>
    <w:p w:rsidR="000C5FC9" w:rsidRPr="00563E83" w:rsidRDefault="000C5FC9" w:rsidP="004568E1">
      <w:pPr>
        <w:pStyle w:val="ECHRHeading2"/>
        <w:outlineLvl w:val="0"/>
      </w:pPr>
      <w:r>
        <w:t>Б.  Приемлемость жалобы</w:t>
      </w:r>
    </w:p>
    <w:p w:rsidR="000C5FC9" w:rsidRDefault="000C5FC9" w:rsidP="00A10B5C">
      <w:pPr>
        <w:pStyle w:val="ECHRPara"/>
      </w:pPr>
      <w:fldSimple w:instr=" SEQ level0 \*arabic ">
        <w:r>
          <w:rPr>
            <w:noProof/>
          </w:rPr>
          <w:t>18</w:t>
        </w:r>
      </w:fldSimple>
      <w:r>
        <w:t>.  Суд отмечает, что жалоба на условия содержания заявителя под стражей в СИЗО г. Санкт-Петербурга в период с 15 января по 18 февраля 2010 года была подана 19 апреля 2010 года, то есть в течение шести месяцев в даты предполагаемого нарушения. Суд указывает также на то, что данная жалоба не является явно необоснованной по смыслу подпункта «а» пункта 3 статьи 35 Конвенции, и что она не является неприемлемой по каким-либо другим основаниям. Следовательно, она должна быть признана приемлемой.</w:t>
      </w:r>
    </w:p>
    <w:p w:rsidR="000C5FC9" w:rsidRDefault="000C5FC9" w:rsidP="004E2D0D">
      <w:pPr>
        <w:pStyle w:val="ECHRPara"/>
      </w:pPr>
      <w:fldSimple w:instr=" SEQ level0 \*arabic ">
        <w:r>
          <w:rPr>
            <w:noProof/>
          </w:rPr>
          <w:t>19</w:t>
        </w:r>
      </w:fldSimple>
      <w:r>
        <w:t xml:space="preserve">.  Что касается жалоб относительно других периодов содержания заявителя под стражей с 10 марта 2004 года по 22 декабря 2011 года, то Суд отмечает, что впервые эти жалобы были поданы 26 октября 2012 года (см. пункт </w:t>
      </w:r>
      <w:r>
        <w:fldChar w:fldCharType="begin"/>
      </w:r>
      <w:r>
        <w:instrText xml:space="preserve"> REF para10 \h 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t xml:space="preserve"> выше), то есть по истечении срока, предусмотренного пунктом 1 статьи 35 Конвенции, и объявляет их неприемлемыми в соответствии с пунктом 4 статьи 35.</w:t>
      </w:r>
    </w:p>
    <w:p w:rsidR="000C5FC9" w:rsidRPr="00563E83" w:rsidRDefault="000C5FC9" w:rsidP="00014566">
      <w:pPr>
        <w:pStyle w:val="ECHRHeading2"/>
        <w:outlineLvl w:val="0"/>
      </w:pPr>
      <w:r>
        <w:t>В.  Существо жалобы</w:t>
      </w:r>
    </w:p>
    <w:p w:rsidR="000C5FC9" w:rsidRPr="00563E83" w:rsidRDefault="000C5FC9" w:rsidP="00C621C2">
      <w:pPr>
        <w:pStyle w:val="ECHRPara"/>
      </w:pPr>
      <w:fldSimple w:instr=" SEQ level0 \*arabic ">
        <w:r>
          <w:rPr>
            <w:noProof/>
          </w:rPr>
          <w:t>20</w:t>
        </w:r>
      </w:fldSimple>
      <w:r>
        <w:t>.  Власти не представили замечаний по существу дела.</w:t>
      </w:r>
    </w:p>
    <w:p w:rsidR="000C5FC9" w:rsidRPr="00563E83" w:rsidRDefault="000C5FC9" w:rsidP="00C621C2">
      <w:pPr>
        <w:pStyle w:val="ECHRPara"/>
      </w:pPr>
      <w:fldSimple w:instr=" SEQ level0 \*arabic ">
        <w:r>
          <w:rPr>
            <w:noProof/>
          </w:rPr>
          <w:t>21</w:t>
        </w:r>
      </w:fldSimple>
      <w:r>
        <w:t>.  Заявитель продолжал настаивать на своей жалобе.</w:t>
      </w:r>
    </w:p>
    <w:p w:rsidR="000C5FC9" w:rsidRPr="00563E83" w:rsidRDefault="000C5FC9" w:rsidP="00C621C2">
      <w:pPr>
        <w:pStyle w:val="ECHRPara"/>
      </w:pPr>
      <w:fldSimple w:instr=" SEQ level0 \*arabic ">
        <w:r>
          <w:rPr>
            <w:noProof/>
          </w:rPr>
          <w:t>22</w:t>
        </w:r>
      </w:fldSimple>
      <w:r>
        <w:t xml:space="preserve">.  Учитывая фактические утверждения заявителя, которые не были оспорены Властями, и доказательства, представленные им Суду (см. пункт </w:t>
      </w:r>
      <w:r>
        <w:fldChar w:fldCharType="begin"/>
      </w:r>
      <w:r>
        <w:instrText xml:space="preserve"> REF para7 \h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 выше), и напоминая о структурном характере проблемы, касающейся условий предварительного заключения в российских местах содержания под стражей (см. пилотное постановление по делу «Ананьев и другие против России» (</w:t>
      </w:r>
      <w:r>
        <w:rPr>
          <w:i/>
        </w:rPr>
        <w:t>Ananyev and Others v. Russia</w:t>
      </w:r>
      <w:r>
        <w:t>), жалобы №№ 42525/07 и 60800/08</w:t>
      </w:r>
      <w:r>
        <w:rPr>
          <w:snapToGrid w:val="0"/>
        </w:rPr>
        <w:t xml:space="preserve">, 10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napToGrid w:val="0"/>
          </w:rPr>
          <w:t>2012 г</w:t>
        </w:r>
      </w:smartTag>
      <w:r>
        <w:rPr>
          <w:snapToGrid w:val="0"/>
        </w:rPr>
        <w:t>.)</w:t>
      </w:r>
      <w:r>
        <w:t>, Суд считает, что условия содержания заявителя под стражей в следственном изоляторе ИЗ-47/1 г. Санкт-Петербурга представляли собой бесчеловечное и унижающее достоинство обращение.</w:t>
      </w:r>
    </w:p>
    <w:p w:rsidR="000C5FC9" w:rsidRPr="00563E83" w:rsidRDefault="000C5FC9" w:rsidP="001655F4">
      <w:pPr>
        <w:pStyle w:val="ECHRPara"/>
      </w:pPr>
      <w:fldSimple w:instr=" SEQ level0 \*arabic ">
        <w:r>
          <w:rPr>
            <w:noProof/>
          </w:rPr>
          <w:t>23</w:t>
        </w:r>
      </w:fldSimple>
      <w:r>
        <w:t>.  Таким образом, имело место нарушение требований статьи 3 Конвенции в связи с условиями содержания заявителя под стражей в период с 15 января по 18 февраля 2010 г.</w:t>
      </w:r>
    </w:p>
    <w:p w:rsidR="000C5FC9" w:rsidRPr="00563E83" w:rsidRDefault="000C5FC9" w:rsidP="00014566">
      <w:pPr>
        <w:pStyle w:val="ECHRHeading1"/>
      </w:pPr>
      <w:r>
        <w:t>II.  ДРУГИЕ ПРЕДПОЛАГАЕМЫЕ НАРУШЕНИЯ КОНВЕНЦИИ</w:t>
      </w:r>
    </w:p>
    <w:p w:rsidR="000C5FC9" w:rsidRPr="00563E83" w:rsidRDefault="000C5FC9" w:rsidP="00C621C2">
      <w:pPr>
        <w:pStyle w:val="ECHRPara"/>
      </w:pPr>
      <w:fldSimple w:instr=" SEQ level0 \*arabic ">
        <w:r>
          <w:rPr>
            <w:noProof/>
          </w:rPr>
          <w:t>24</w:t>
        </w:r>
      </w:fldSimple>
      <w:r>
        <w:t>.  Заявитель также жаловался на предполагаемое неоказание адекватной медицинской помощи в следственном изоляторе и на различные нарушения его прав, предусмотренных Конвенцией, в ходе уголовного производства по его делу. С учетом всех имеющихся в распоряжении Суда материалов, и в той мере, в которой предмет жалобы относится к его компетенции, Суд считает, что данные жалобы не свидетельствуют о нарушении прав и свобод, изложенных в Конвенции и Протоколах к ней. Следовательно, Европейский Суд отклоняет их как явно необоснованные в соответствии с подпунктом «а» пункта 3 и пунктом 4 статьи 35 Конвенции.</w:t>
      </w:r>
    </w:p>
    <w:p w:rsidR="000C5FC9" w:rsidRPr="00563E83" w:rsidRDefault="000C5FC9" w:rsidP="00014566">
      <w:pPr>
        <w:pStyle w:val="ECHRHeading1"/>
      </w:pPr>
      <w:r>
        <w:t>III.  ПРИМЕНЕНИЕ СТАТЬИ 41 КОНВЕНЦИИ</w:t>
      </w:r>
    </w:p>
    <w:p w:rsidR="000C5FC9" w:rsidRPr="00563E83" w:rsidRDefault="000C5FC9" w:rsidP="00C621C2">
      <w:pPr>
        <w:pStyle w:val="ECHRPara"/>
      </w:pPr>
      <w:fldSimple w:instr=" SEQ level0 \*arabic ">
        <w:r>
          <w:rPr>
            <w:noProof/>
          </w:rPr>
          <w:t>25</w:t>
        </w:r>
      </w:fldSimple>
      <w:r>
        <w:t>.  Статья 41 Конвенции предусматривает следующее:</w:t>
      </w:r>
    </w:p>
    <w:p w:rsidR="000C5FC9" w:rsidRPr="00563E83" w:rsidRDefault="000C5FC9" w:rsidP="00014566">
      <w:pPr>
        <w:pStyle w:val="ECHRParaQuote"/>
        <w:keepNext/>
        <w:keepLines/>
      </w:pPr>
      <w:r>
        <w:t>«Если Суд устанавливает, что имело место нарушение Конвенции или Протоколов к ней, а внутреннее право Высокой Договаривающейся Стороны допускает возможность, лишь частичного устранения последствий этого нарушения, Суд, в случае необходимости, присуждает справедливую компенсацию потерпевшей стороне».</w:t>
      </w:r>
    </w:p>
    <w:p w:rsidR="000C5FC9" w:rsidRPr="00563E83" w:rsidRDefault="000C5FC9" w:rsidP="00014566">
      <w:pPr>
        <w:pStyle w:val="ECHRHeading2"/>
        <w:keepLines w:val="0"/>
        <w:outlineLvl w:val="0"/>
      </w:pPr>
      <w:r>
        <w:t>А.  Ущерб</w:t>
      </w:r>
    </w:p>
    <w:p w:rsidR="000C5FC9" w:rsidRDefault="000C5FC9" w:rsidP="00C621C2">
      <w:pPr>
        <w:pStyle w:val="ECHRPara"/>
      </w:pPr>
      <w:fldSimple w:instr=" SEQ level0 \*arabic ">
        <w:r>
          <w:rPr>
            <w:noProof/>
          </w:rPr>
          <w:t>26</w:t>
        </w:r>
      </w:fldSimple>
      <w:r>
        <w:t>.  Заявитель потребовал 47 000 евро в качестве компенсации морального ущерба.</w:t>
      </w:r>
    </w:p>
    <w:p w:rsidR="000C5FC9" w:rsidRPr="00563E83" w:rsidRDefault="000C5FC9" w:rsidP="00C621C2">
      <w:pPr>
        <w:pStyle w:val="ECHRPara"/>
      </w:pPr>
      <w:fldSimple w:instr=" SEQ level0 \*arabic ">
        <w:r>
          <w:rPr>
            <w:noProof/>
          </w:rPr>
          <w:t>27</w:t>
        </w:r>
      </w:fldSimple>
      <w:r>
        <w:t>.  Власти сочли это требование чрезмерным.</w:t>
      </w:r>
    </w:p>
    <w:p w:rsidR="000C5FC9" w:rsidRPr="00563E83" w:rsidRDefault="000C5FC9" w:rsidP="00C621C2">
      <w:pPr>
        <w:pStyle w:val="ECHRPara"/>
      </w:pPr>
      <w:fldSimple w:instr=" SEQ level0 \*arabic ">
        <w:r>
          <w:rPr>
            <w:noProof/>
          </w:rPr>
          <w:t>28</w:t>
        </w:r>
      </w:fldSimple>
      <w:r>
        <w:t>.  Суд, учитывая свою прецедентную практику по аналогичным делам, присуждает заявителю 5 000 евро в качестве компенсации морального ущерба, плюс любые налоги, которыми может облагаться данная сумма.</w:t>
      </w:r>
    </w:p>
    <w:p w:rsidR="000C5FC9" w:rsidRPr="00563E83" w:rsidRDefault="000C5FC9" w:rsidP="00014566">
      <w:pPr>
        <w:pStyle w:val="ECHRHeading2"/>
        <w:outlineLvl w:val="0"/>
      </w:pPr>
      <w:r>
        <w:t>Б.  Расходы и издержки</w:t>
      </w:r>
    </w:p>
    <w:p w:rsidR="000C5FC9" w:rsidRPr="00563E83" w:rsidRDefault="000C5FC9" w:rsidP="00C621C2">
      <w:pPr>
        <w:pStyle w:val="ECHRPara"/>
      </w:pPr>
      <w:fldSimple w:instr=" SEQ level0 \*arabic ">
        <w:r>
          <w:rPr>
            <w:noProof/>
          </w:rPr>
          <w:t>29</w:t>
        </w:r>
      </w:fldSimple>
      <w:r>
        <w:t>.  Заявитель также потребовал 12 500 евро в качестве возмещения расходов и издержек, понесенных им в ходе разбирательства дела в Суде.</w:t>
      </w:r>
    </w:p>
    <w:p w:rsidR="000C5FC9" w:rsidRPr="00563E83" w:rsidRDefault="000C5FC9" w:rsidP="00C621C2">
      <w:pPr>
        <w:pStyle w:val="ECHRPara"/>
      </w:pPr>
      <w:fldSimple w:instr=" SEQ level0 \*arabic ">
        <w:r>
          <w:rPr>
            <w:noProof/>
          </w:rPr>
          <w:t>30</w:t>
        </w:r>
      </w:fldSimple>
      <w:r>
        <w:t>.  Власти утверждали, что данная сумма является чрезмерной и должна быть сокращена, поскольку дело не было сложным.</w:t>
      </w:r>
    </w:p>
    <w:p w:rsidR="000C5FC9" w:rsidRPr="00563E83" w:rsidRDefault="000C5FC9" w:rsidP="00C621C2">
      <w:pPr>
        <w:pStyle w:val="ECHRPara"/>
      </w:pPr>
      <w:fldSimple w:instr=" SEQ level0 \*arabic ">
        <w:r>
          <w:rPr>
            <w:noProof/>
          </w:rPr>
          <w:t>31</w:t>
        </w:r>
      </w:fldSimple>
      <w:r>
        <w:t>.  Принимая во внимание документы, находящиеся в его распоряжении, а также свою прецедентную практику, Суд считает разумным присудить сумму в 1 000 евро на покрытие расходов, понесенных в ходе разбирательства в Суде.</w:t>
      </w:r>
    </w:p>
    <w:p w:rsidR="000C5FC9" w:rsidRPr="00563E83" w:rsidRDefault="000C5FC9" w:rsidP="00014566">
      <w:pPr>
        <w:pStyle w:val="ECHRHeading2"/>
        <w:outlineLvl w:val="0"/>
      </w:pPr>
      <w:r>
        <w:t>В.  Проценты за просрочку платежа</w:t>
      </w:r>
    </w:p>
    <w:p w:rsidR="000C5FC9" w:rsidRDefault="000C5FC9" w:rsidP="00C621C2">
      <w:pPr>
        <w:pStyle w:val="ECHRPara"/>
      </w:pPr>
      <w:fldSimple w:instr=" SEQ level0 \*arabic ">
        <w:r>
          <w:rPr>
            <w:noProof/>
          </w:rPr>
          <w:t>32</w:t>
        </w:r>
      </w:fldSimple>
      <w:r>
        <w:t>.  Суд считает приемлемым, что процентная ставка при просрочке платежа должна быть установлена в размере, равном предельной годовой процентной ставке Европейского Центрального банка, плюс три процента.</w:t>
      </w:r>
    </w:p>
    <w:p w:rsidR="000C5FC9" w:rsidRPr="00563E83" w:rsidRDefault="000C5FC9" w:rsidP="00014566">
      <w:pPr>
        <w:pStyle w:val="ECHRTitle1"/>
      </w:pPr>
      <w:r>
        <w:t>ПО ЭТИМ ОСНОВАНИЯМ СУД ЕДИНОГЛАСНО:</w:t>
      </w:r>
    </w:p>
    <w:p w:rsidR="000C5FC9" w:rsidRPr="00563E83" w:rsidRDefault="000C5FC9" w:rsidP="00C621C2">
      <w:pPr>
        <w:pStyle w:val="JuList"/>
      </w:pPr>
      <w:r>
        <w:t>1.  </w:t>
      </w:r>
      <w:r>
        <w:rPr>
          <w:i/>
        </w:rPr>
        <w:t xml:space="preserve">Объявил </w:t>
      </w:r>
      <w:r>
        <w:t>жалобу относительно условий содержания заявителя под стражей в следственном изоляторе ИЗ-47/1 г. Санкт-Петербурга в период между 15 января и 18 февраля 2010 приемлемой, а остальную часть жалобы неприемлемой;</w:t>
      </w:r>
    </w:p>
    <w:p w:rsidR="000C5FC9" w:rsidRPr="00563E83" w:rsidRDefault="000C5FC9" w:rsidP="00C621C2">
      <w:pPr>
        <w:pStyle w:val="JuList"/>
      </w:pPr>
    </w:p>
    <w:p w:rsidR="000C5FC9" w:rsidRPr="00563E83" w:rsidRDefault="000C5FC9" w:rsidP="00C621C2">
      <w:pPr>
        <w:pStyle w:val="JuList"/>
      </w:pPr>
      <w:r>
        <w:t>2.  </w:t>
      </w:r>
      <w:r>
        <w:rPr>
          <w:i/>
        </w:rPr>
        <w:t>Постановил</w:t>
      </w:r>
      <w:r>
        <w:t>, что имело место нарушение статьи 3 Конвенции;</w:t>
      </w:r>
    </w:p>
    <w:p w:rsidR="000C5FC9" w:rsidRPr="00563E83" w:rsidRDefault="000C5FC9" w:rsidP="00C621C2">
      <w:pPr>
        <w:pStyle w:val="JuList"/>
      </w:pPr>
    </w:p>
    <w:p w:rsidR="000C5FC9" w:rsidRDefault="000C5FC9" w:rsidP="00C621C2">
      <w:pPr>
        <w:pStyle w:val="JuList"/>
      </w:pPr>
      <w:r>
        <w:t>3.  </w:t>
      </w:r>
      <w:r>
        <w:rPr>
          <w:i/>
        </w:rPr>
        <w:t>Постановил</w:t>
      </w:r>
    </w:p>
    <w:p w:rsidR="000C5FC9" w:rsidRPr="00563E83" w:rsidRDefault="000C5FC9" w:rsidP="00014566">
      <w:pPr>
        <w:pStyle w:val="JuLista"/>
      </w:pPr>
      <w:r>
        <w:t>(a) что в течение трех месяцев с даты вынесения настоящего постановления государство-ответчик обязано выплатить заявителю нижеприведенные суммы с последующим переводом в валюту государства-ответчика по курсу, установленному на день выплаты:</w:t>
      </w:r>
    </w:p>
    <w:p w:rsidR="000C5FC9" w:rsidRPr="00563E83" w:rsidRDefault="000C5FC9" w:rsidP="00014566">
      <w:pPr>
        <w:pStyle w:val="JuListi"/>
      </w:pPr>
      <w:r>
        <w:t>(i)  5 000 (пять тысяч) евро, плюс любой налог, которым может облагаться эта сумма, в качестве компенсации морального вреда;</w:t>
      </w:r>
    </w:p>
    <w:p w:rsidR="000C5FC9" w:rsidRPr="00563E83" w:rsidRDefault="000C5FC9" w:rsidP="00014566">
      <w:pPr>
        <w:pStyle w:val="JuListi"/>
      </w:pPr>
      <w:r>
        <w:t>(ii)  1 000 (одну тысячу) евро в качестве возмещения судебных расходов и издержек плюс любой налог, которым может облагаться данная сумма;</w:t>
      </w:r>
    </w:p>
    <w:p w:rsidR="000C5FC9" w:rsidRPr="00563E83" w:rsidRDefault="000C5FC9" w:rsidP="00014566">
      <w:pPr>
        <w:pStyle w:val="JuLista"/>
      </w:pPr>
      <w:r>
        <w:t>(б)  что с момента истечения вышеуказанного трехмесячного срока до момента выплаты компенсации на данные суммы начисляются простые проценты в размере, равном предельной годовой процентной ставке Европейского Центрального Банка в течение периода выплаты пени плюс три процента;</w:t>
      </w:r>
    </w:p>
    <w:p w:rsidR="000C5FC9" w:rsidRPr="00563E83" w:rsidRDefault="000C5FC9" w:rsidP="00C621C2">
      <w:pPr>
        <w:pStyle w:val="JuList"/>
      </w:pPr>
    </w:p>
    <w:p w:rsidR="000C5FC9" w:rsidRPr="00563E83" w:rsidRDefault="000C5FC9" w:rsidP="00C621C2">
      <w:pPr>
        <w:pStyle w:val="JuList"/>
      </w:pPr>
      <w:r>
        <w:t>4.  </w:t>
      </w:r>
      <w:r>
        <w:rPr>
          <w:i/>
        </w:rPr>
        <w:t>Отклонил</w:t>
      </w:r>
      <w:r>
        <w:rPr>
          <w:color w:val="000000"/>
        </w:rPr>
        <w:t xml:space="preserve"> </w:t>
      </w:r>
      <w:r>
        <w:t>остальные требования заявителя о справедливой компенсации.</w:t>
      </w:r>
    </w:p>
    <w:p w:rsidR="000C5FC9" w:rsidRPr="00563E83" w:rsidRDefault="000C5FC9" w:rsidP="00014566">
      <w:pPr>
        <w:pStyle w:val="JuParaLast"/>
      </w:pPr>
      <w:r>
        <w:t>Составлено на английском языке, уведомление в письменном виде направлено 16 октября 2014 года в соответствии с пунктами 2 и 3 правила 77 Регламента Суда.</w:t>
      </w:r>
    </w:p>
    <w:p w:rsidR="000C5FC9" w:rsidRPr="00563E83" w:rsidRDefault="000C5FC9" w:rsidP="00AE2533">
      <w:pPr>
        <w:pStyle w:val="JuSigned"/>
        <w:ind w:left="-567" w:firstLine="567"/>
      </w:pPr>
      <w:r>
        <w:tab/>
        <w:t xml:space="preserve">Сорен Пребенсен                                                Ханлар Гаджиев </w:t>
      </w:r>
      <w:r>
        <w:br/>
        <w:t>И.о. Заместителя Секретаря                                          Председатель</w:t>
      </w:r>
    </w:p>
    <w:p w:rsidR="000C5FC9" w:rsidRPr="00563E83" w:rsidRDefault="000C5FC9" w:rsidP="00436307"/>
    <w:sectPr w:rsidR="000C5FC9" w:rsidRPr="00563E83" w:rsidSect="00614900">
      <w:headerReference w:type="even" r:id="rId14"/>
      <w:headerReference w:type="defaul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C9" w:rsidRDefault="000C5FC9" w:rsidP="00014566">
      <w:r>
        <w:separator/>
      </w:r>
    </w:p>
  </w:endnote>
  <w:endnote w:type="continuationSeparator" w:id="0">
    <w:p w:rsidR="000C5FC9" w:rsidRDefault="000C5FC9" w:rsidP="0001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C9" w:rsidRDefault="000C5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C9" w:rsidRDefault="000C5F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C9" w:rsidRPr="00150BFA" w:rsidRDefault="000C5FC9" w:rsidP="0020718E">
    <w:pPr>
      <w:jc w:val="center"/>
    </w:pPr>
    <w:r w:rsidRPr="00DE44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60pt;height:48.75pt;visibility:visible">
          <v:imagedata r:id="rId1" o:title=""/>
        </v:shape>
      </w:pict>
    </w:r>
  </w:p>
  <w:p w:rsidR="000C5FC9" w:rsidRDefault="000C5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C9" w:rsidRDefault="000C5FC9" w:rsidP="00014566">
      <w:r>
        <w:separator/>
      </w:r>
    </w:p>
  </w:footnote>
  <w:footnote w:type="continuationSeparator" w:id="0">
    <w:p w:rsidR="000C5FC9" w:rsidRDefault="000C5FC9" w:rsidP="00014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C9" w:rsidRDefault="000C5F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C9" w:rsidRPr="00614900" w:rsidRDefault="000C5FC9" w:rsidP="00614900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C9" w:rsidRPr="00A45145" w:rsidRDefault="000C5FC9" w:rsidP="00A45145">
    <w:pPr>
      <w:jc w:val="center"/>
    </w:pPr>
    <w:r w:rsidRPr="00DE44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233.25pt;height:96pt;visibility:visible">
          <v:imagedata r:id="rId1" o:title=""/>
        </v:shape>
      </w:pict>
    </w:r>
  </w:p>
  <w:p w:rsidR="000C5FC9" w:rsidRDefault="000C5FC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C9" w:rsidRPr="00FF2306" w:rsidRDefault="000C5FC9" w:rsidP="00EE1DA9">
    <w:pPr>
      <w:pStyle w:val="ECHRHeader"/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6</w:t>
    </w:r>
    <w:r>
      <w:rPr>
        <w:rStyle w:val="PageNumber"/>
        <w:szCs w:val="18"/>
      </w:rPr>
      <w:fldChar w:fldCharType="end"/>
    </w:r>
    <w:r>
      <w:tab/>
      <w:t>ПОСТАНОВЛЕНИЕ ПО ДЕЛУ «МАКОВОЗ против РОССИИ»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C9" w:rsidRPr="00D60D87" w:rsidRDefault="000C5FC9" w:rsidP="00D60D87">
    <w:pPr>
      <w:pStyle w:val="ECHRHeader"/>
    </w:pPr>
    <w:r>
      <w:tab/>
      <w:t>ПОСТАНОВЛЕНИЕ ПО ДЕЛУ «МАКОВОЗ против РОССИИ»</w:t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>
      <w:rPr>
        <w:rStyle w:val="PageNumber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180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0EC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B8B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1C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802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C3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2E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6B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6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3C0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27512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A9D4A6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9E576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AF7039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cs="Times New Roman" w:hint="default"/>
      </w:rPr>
    </w:lvl>
  </w:abstractNum>
  <w:abstractNum w:abstractNumId="16">
    <w:nsid w:val="2BAC1B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492F51A1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9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6903243"/>
    <w:multiLevelType w:val="multilevel"/>
    <w:tmpl w:val="E88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7737461D"/>
    <w:multiLevelType w:val="multilevel"/>
    <w:tmpl w:val="040C0023"/>
    <w:styleLink w:val="ArticleSection"/>
    <w:lvl w:ilvl="0">
      <w:start w:val="1"/>
      <w:numFmt w:val="upperRoman"/>
      <w:pStyle w:val="Heading1"/>
      <w:lvlText w:val="Article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2">
    <w:nsid w:val="7E334C1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5"/>
  </w:num>
  <w:num w:numId="26">
    <w:abstractNumId w:val="18"/>
  </w:num>
  <w:num w:numId="27">
    <w:abstractNumId w:val="15"/>
  </w:num>
  <w:num w:numId="28">
    <w:abstractNumId w:val="19"/>
  </w:num>
  <w:num w:numId="29">
    <w:abstractNumId w:val="14"/>
  </w:num>
  <w:num w:numId="30">
    <w:abstractNumId w:val="10"/>
  </w:num>
  <w:num w:numId="31">
    <w:abstractNumId w:val="21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0"/>
  </w:num>
  <w:num w:numId="42">
    <w:abstractNumId w:val="11"/>
  </w:num>
  <w:num w:numId="43">
    <w:abstractNumId w:val="16"/>
  </w:num>
  <w:num w:numId="44">
    <w:abstractNumId w:val="22"/>
  </w:num>
  <w:num w:numId="45">
    <w:abstractNumId w:val="12"/>
  </w:num>
  <w:num w:numId="46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D004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891BF2"/>
    <w:rsid w:val="000041F8"/>
    <w:rsid w:val="000042A8"/>
    <w:rsid w:val="00004308"/>
    <w:rsid w:val="00005BF0"/>
    <w:rsid w:val="00007154"/>
    <w:rsid w:val="000103AE"/>
    <w:rsid w:val="00011D69"/>
    <w:rsid w:val="00012AD3"/>
    <w:rsid w:val="00014566"/>
    <w:rsid w:val="00015C2D"/>
    <w:rsid w:val="00015F00"/>
    <w:rsid w:val="00022C1D"/>
    <w:rsid w:val="00024EA2"/>
    <w:rsid w:val="00034987"/>
    <w:rsid w:val="00054B0F"/>
    <w:rsid w:val="000602DF"/>
    <w:rsid w:val="00061B05"/>
    <w:rsid w:val="00062D5D"/>
    <w:rsid w:val="000632D5"/>
    <w:rsid w:val="000644EE"/>
    <w:rsid w:val="0007011A"/>
    <w:rsid w:val="000925AD"/>
    <w:rsid w:val="000A24EB"/>
    <w:rsid w:val="000B61AC"/>
    <w:rsid w:val="000B6923"/>
    <w:rsid w:val="000C033C"/>
    <w:rsid w:val="000C5F3C"/>
    <w:rsid w:val="000C5FC9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02C3"/>
    <w:rsid w:val="00150BFA"/>
    <w:rsid w:val="00151611"/>
    <w:rsid w:val="00162A12"/>
    <w:rsid w:val="001655F4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66DF"/>
    <w:rsid w:val="001D7348"/>
    <w:rsid w:val="001E035B"/>
    <w:rsid w:val="001E0961"/>
    <w:rsid w:val="001E353A"/>
    <w:rsid w:val="001E3EAE"/>
    <w:rsid w:val="001E6F32"/>
    <w:rsid w:val="001E7E40"/>
    <w:rsid w:val="001F2145"/>
    <w:rsid w:val="001F6262"/>
    <w:rsid w:val="001F67B0"/>
    <w:rsid w:val="001F7B3D"/>
    <w:rsid w:val="0020408F"/>
    <w:rsid w:val="00205F9F"/>
    <w:rsid w:val="0020718E"/>
    <w:rsid w:val="00210338"/>
    <w:rsid w:val="002115FC"/>
    <w:rsid w:val="0021423C"/>
    <w:rsid w:val="0022718A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8572A"/>
    <w:rsid w:val="0029373A"/>
    <w:rsid w:val="002948AD"/>
    <w:rsid w:val="00294C92"/>
    <w:rsid w:val="002A01CC"/>
    <w:rsid w:val="002A61B1"/>
    <w:rsid w:val="002A663C"/>
    <w:rsid w:val="002B444B"/>
    <w:rsid w:val="002B5887"/>
    <w:rsid w:val="002C0692"/>
    <w:rsid w:val="002C0E27"/>
    <w:rsid w:val="002C3040"/>
    <w:rsid w:val="002C40B1"/>
    <w:rsid w:val="002D022D"/>
    <w:rsid w:val="002D24BB"/>
    <w:rsid w:val="002E3914"/>
    <w:rsid w:val="002F2AF7"/>
    <w:rsid w:val="002F570B"/>
    <w:rsid w:val="002F7E1C"/>
    <w:rsid w:val="00301A75"/>
    <w:rsid w:val="00302F70"/>
    <w:rsid w:val="0030336F"/>
    <w:rsid w:val="0030375E"/>
    <w:rsid w:val="003063A9"/>
    <w:rsid w:val="00312A30"/>
    <w:rsid w:val="00320F72"/>
    <w:rsid w:val="0032463E"/>
    <w:rsid w:val="00326224"/>
    <w:rsid w:val="00337EE4"/>
    <w:rsid w:val="00340FFD"/>
    <w:rsid w:val="003506B1"/>
    <w:rsid w:val="00356AC7"/>
    <w:rsid w:val="00357C2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5ACF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25C67"/>
    <w:rsid w:val="00427E7A"/>
    <w:rsid w:val="00436307"/>
    <w:rsid w:val="00436C49"/>
    <w:rsid w:val="00445366"/>
    <w:rsid w:val="00447F5B"/>
    <w:rsid w:val="004568E1"/>
    <w:rsid w:val="00461DB0"/>
    <w:rsid w:val="00463926"/>
    <w:rsid w:val="004646E0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2D0D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0CB4"/>
    <w:rsid w:val="005442EE"/>
    <w:rsid w:val="00547353"/>
    <w:rsid w:val="005474E7"/>
    <w:rsid w:val="005512A3"/>
    <w:rsid w:val="005578CE"/>
    <w:rsid w:val="00562781"/>
    <w:rsid w:val="00563E83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C4982"/>
    <w:rsid w:val="005C5C0E"/>
    <w:rsid w:val="005D34F9"/>
    <w:rsid w:val="005D4190"/>
    <w:rsid w:val="005D67A3"/>
    <w:rsid w:val="005E2988"/>
    <w:rsid w:val="005E2A43"/>
    <w:rsid w:val="005E3085"/>
    <w:rsid w:val="005E6531"/>
    <w:rsid w:val="005F3051"/>
    <w:rsid w:val="005F51E1"/>
    <w:rsid w:val="00606AC7"/>
    <w:rsid w:val="00611C80"/>
    <w:rsid w:val="00614900"/>
    <w:rsid w:val="0061588A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74F03"/>
    <w:rsid w:val="00682BF2"/>
    <w:rsid w:val="006859CE"/>
    <w:rsid w:val="00691270"/>
    <w:rsid w:val="00691FE6"/>
    <w:rsid w:val="00694BA8"/>
    <w:rsid w:val="006A037C"/>
    <w:rsid w:val="006A36F4"/>
    <w:rsid w:val="006A406F"/>
    <w:rsid w:val="006A53E4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6F30"/>
    <w:rsid w:val="007407D9"/>
    <w:rsid w:val="00741404"/>
    <w:rsid w:val="007449E5"/>
    <w:rsid w:val="00746C5A"/>
    <w:rsid w:val="00747FF0"/>
    <w:rsid w:val="00764D4E"/>
    <w:rsid w:val="00765A1F"/>
    <w:rsid w:val="00771DA4"/>
    <w:rsid w:val="00775B6D"/>
    <w:rsid w:val="00776D68"/>
    <w:rsid w:val="00780696"/>
    <w:rsid w:val="007850EE"/>
    <w:rsid w:val="00785B95"/>
    <w:rsid w:val="00787976"/>
    <w:rsid w:val="00790E96"/>
    <w:rsid w:val="00793366"/>
    <w:rsid w:val="007A14CB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844"/>
    <w:rsid w:val="007E2C4E"/>
    <w:rsid w:val="007E7DA2"/>
    <w:rsid w:val="007F1905"/>
    <w:rsid w:val="00801300"/>
    <w:rsid w:val="00802C64"/>
    <w:rsid w:val="00805E52"/>
    <w:rsid w:val="008061D0"/>
    <w:rsid w:val="00810B38"/>
    <w:rsid w:val="008171BD"/>
    <w:rsid w:val="008204C7"/>
    <w:rsid w:val="00820992"/>
    <w:rsid w:val="00821F9B"/>
    <w:rsid w:val="00823602"/>
    <w:rsid w:val="008255F5"/>
    <w:rsid w:val="0083014E"/>
    <w:rsid w:val="0083214A"/>
    <w:rsid w:val="00834220"/>
    <w:rsid w:val="00845723"/>
    <w:rsid w:val="00846E0C"/>
    <w:rsid w:val="00851EF9"/>
    <w:rsid w:val="00856224"/>
    <w:rsid w:val="008577FD"/>
    <w:rsid w:val="00860B03"/>
    <w:rsid w:val="0086497A"/>
    <w:rsid w:val="008713A1"/>
    <w:rsid w:val="008754AB"/>
    <w:rsid w:val="0087689A"/>
    <w:rsid w:val="0088060C"/>
    <w:rsid w:val="00891BF2"/>
    <w:rsid w:val="00893576"/>
    <w:rsid w:val="00893E73"/>
    <w:rsid w:val="008A43C4"/>
    <w:rsid w:val="008B02DC"/>
    <w:rsid w:val="008B57CE"/>
    <w:rsid w:val="008C26DE"/>
    <w:rsid w:val="008D2225"/>
    <w:rsid w:val="008D472E"/>
    <w:rsid w:val="008D4752"/>
    <w:rsid w:val="008E19B4"/>
    <w:rsid w:val="008E271C"/>
    <w:rsid w:val="008E418E"/>
    <w:rsid w:val="008E5BC6"/>
    <w:rsid w:val="008E6831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0E9E"/>
    <w:rsid w:val="00972B55"/>
    <w:rsid w:val="009743B7"/>
    <w:rsid w:val="0098228B"/>
    <w:rsid w:val="009828DA"/>
    <w:rsid w:val="009849E0"/>
    <w:rsid w:val="009850CC"/>
    <w:rsid w:val="00985BAB"/>
    <w:rsid w:val="009B1B5F"/>
    <w:rsid w:val="009B2EC2"/>
    <w:rsid w:val="009B6673"/>
    <w:rsid w:val="009C191B"/>
    <w:rsid w:val="009C2BD6"/>
    <w:rsid w:val="009E1F32"/>
    <w:rsid w:val="009E5829"/>
    <w:rsid w:val="009E776C"/>
    <w:rsid w:val="00A007FE"/>
    <w:rsid w:val="00A0649C"/>
    <w:rsid w:val="00A10B5C"/>
    <w:rsid w:val="00A1726E"/>
    <w:rsid w:val="00A204CF"/>
    <w:rsid w:val="00A23D49"/>
    <w:rsid w:val="00A27004"/>
    <w:rsid w:val="00A30C29"/>
    <w:rsid w:val="00A31112"/>
    <w:rsid w:val="00A34DD6"/>
    <w:rsid w:val="00A36819"/>
    <w:rsid w:val="00A36989"/>
    <w:rsid w:val="00A43628"/>
    <w:rsid w:val="00A44A08"/>
    <w:rsid w:val="00A45145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31FC"/>
    <w:rsid w:val="00AB4328"/>
    <w:rsid w:val="00AE0A2E"/>
    <w:rsid w:val="00AE2533"/>
    <w:rsid w:val="00AE354C"/>
    <w:rsid w:val="00AF4B07"/>
    <w:rsid w:val="00AF6163"/>
    <w:rsid w:val="00AF6186"/>
    <w:rsid w:val="00AF7A3A"/>
    <w:rsid w:val="00B160DB"/>
    <w:rsid w:val="00B20836"/>
    <w:rsid w:val="00B235BB"/>
    <w:rsid w:val="00B27A44"/>
    <w:rsid w:val="00B30BBF"/>
    <w:rsid w:val="00B33C03"/>
    <w:rsid w:val="00B361F7"/>
    <w:rsid w:val="00B44E56"/>
    <w:rsid w:val="00B46543"/>
    <w:rsid w:val="00B47D33"/>
    <w:rsid w:val="00B52BE0"/>
    <w:rsid w:val="00B54133"/>
    <w:rsid w:val="00B55B06"/>
    <w:rsid w:val="00B575E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275"/>
    <w:rsid w:val="00BB345F"/>
    <w:rsid w:val="00BB68EA"/>
    <w:rsid w:val="00BC1C27"/>
    <w:rsid w:val="00BC6BBF"/>
    <w:rsid w:val="00BD1572"/>
    <w:rsid w:val="00BE14E3"/>
    <w:rsid w:val="00BE3774"/>
    <w:rsid w:val="00BE41E5"/>
    <w:rsid w:val="00BF103F"/>
    <w:rsid w:val="00BF4109"/>
    <w:rsid w:val="00BF4CC3"/>
    <w:rsid w:val="00C054C7"/>
    <w:rsid w:val="00C057B5"/>
    <w:rsid w:val="00C11DC3"/>
    <w:rsid w:val="00C22687"/>
    <w:rsid w:val="00C2400E"/>
    <w:rsid w:val="00C32E4D"/>
    <w:rsid w:val="00C333A0"/>
    <w:rsid w:val="00C345D7"/>
    <w:rsid w:val="00C36A81"/>
    <w:rsid w:val="00C41974"/>
    <w:rsid w:val="00C53F4A"/>
    <w:rsid w:val="00C54125"/>
    <w:rsid w:val="00C55B54"/>
    <w:rsid w:val="00C6098E"/>
    <w:rsid w:val="00C6152C"/>
    <w:rsid w:val="00C621C2"/>
    <w:rsid w:val="00C704E5"/>
    <w:rsid w:val="00C74810"/>
    <w:rsid w:val="00C82612"/>
    <w:rsid w:val="00C90D68"/>
    <w:rsid w:val="00C939FE"/>
    <w:rsid w:val="00CA355B"/>
    <w:rsid w:val="00CA4BDA"/>
    <w:rsid w:val="00CB1F66"/>
    <w:rsid w:val="00CB2951"/>
    <w:rsid w:val="00CD282B"/>
    <w:rsid w:val="00CD4C35"/>
    <w:rsid w:val="00CD7369"/>
    <w:rsid w:val="00CE0B0E"/>
    <w:rsid w:val="00CE2CAA"/>
    <w:rsid w:val="00CE3831"/>
    <w:rsid w:val="00D00ABB"/>
    <w:rsid w:val="00D02EEC"/>
    <w:rsid w:val="00D03551"/>
    <w:rsid w:val="00D06A63"/>
    <w:rsid w:val="00D07E0E"/>
    <w:rsid w:val="00D11478"/>
    <w:rsid w:val="00D15ED0"/>
    <w:rsid w:val="00D16071"/>
    <w:rsid w:val="00D21B3E"/>
    <w:rsid w:val="00D21FED"/>
    <w:rsid w:val="00D24251"/>
    <w:rsid w:val="00D343E2"/>
    <w:rsid w:val="00D361A2"/>
    <w:rsid w:val="00D42A19"/>
    <w:rsid w:val="00D44C2E"/>
    <w:rsid w:val="00D45414"/>
    <w:rsid w:val="00D566BD"/>
    <w:rsid w:val="00D57A4D"/>
    <w:rsid w:val="00D60AA7"/>
    <w:rsid w:val="00D60D87"/>
    <w:rsid w:val="00D6435F"/>
    <w:rsid w:val="00D75E28"/>
    <w:rsid w:val="00D772C2"/>
    <w:rsid w:val="00D8008E"/>
    <w:rsid w:val="00D81C10"/>
    <w:rsid w:val="00D82C45"/>
    <w:rsid w:val="00D908A8"/>
    <w:rsid w:val="00D977B6"/>
    <w:rsid w:val="00DA2E5D"/>
    <w:rsid w:val="00DA4A31"/>
    <w:rsid w:val="00DA5D0E"/>
    <w:rsid w:val="00DA7B04"/>
    <w:rsid w:val="00DB36C2"/>
    <w:rsid w:val="00DB78CC"/>
    <w:rsid w:val="00DC169B"/>
    <w:rsid w:val="00DC2AB9"/>
    <w:rsid w:val="00DC63F0"/>
    <w:rsid w:val="00DD6EE5"/>
    <w:rsid w:val="00DE2713"/>
    <w:rsid w:val="00DE386C"/>
    <w:rsid w:val="00DE44E5"/>
    <w:rsid w:val="00DE4D35"/>
    <w:rsid w:val="00DF0549"/>
    <w:rsid w:val="00DF098B"/>
    <w:rsid w:val="00DF11C4"/>
    <w:rsid w:val="00DF210C"/>
    <w:rsid w:val="00DF4B6A"/>
    <w:rsid w:val="00DF4F38"/>
    <w:rsid w:val="00E02C09"/>
    <w:rsid w:val="00E04D59"/>
    <w:rsid w:val="00E07DA1"/>
    <w:rsid w:val="00E123CB"/>
    <w:rsid w:val="00E20E13"/>
    <w:rsid w:val="00E213B3"/>
    <w:rsid w:val="00E21DBC"/>
    <w:rsid w:val="00E275D7"/>
    <w:rsid w:val="00E27DBE"/>
    <w:rsid w:val="00E32AB1"/>
    <w:rsid w:val="00E36C71"/>
    <w:rsid w:val="00E3776F"/>
    <w:rsid w:val="00E40404"/>
    <w:rsid w:val="00E459C6"/>
    <w:rsid w:val="00E47589"/>
    <w:rsid w:val="00E64915"/>
    <w:rsid w:val="00E64FCE"/>
    <w:rsid w:val="00E661D4"/>
    <w:rsid w:val="00E70091"/>
    <w:rsid w:val="00E720F5"/>
    <w:rsid w:val="00E76D47"/>
    <w:rsid w:val="00E827D6"/>
    <w:rsid w:val="00E849F7"/>
    <w:rsid w:val="00E90302"/>
    <w:rsid w:val="00E97396"/>
    <w:rsid w:val="00EA185E"/>
    <w:rsid w:val="00EA592A"/>
    <w:rsid w:val="00EB14E4"/>
    <w:rsid w:val="00EB32A5"/>
    <w:rsid w:val="00EB34ED"/>
    <w:rsid w:val="00EB5A6A"/>
    <w:rsid w:val="00EB7BE0"/>
    <w:rsid w:val="00EC218C"/>
    <w:rsid w:val="00EC315E"/>
    <w:rsid w:val="00ED077C"/>
    <w:rsid w:val="00ED1190"/>
    <w:rsid w:val="00ED6544"/>
    <w:rsid w:val="00EE0277"/>
    <w:rsid w:val="00EE1DA9"/>
    <w:rsid w:val="00EE3E00"/>
    <w:rsid w:val="00EE5DD2"/>
    <w:rsid w:val="00EF41F1"/>
    <w:rsid w:val="00EF4F08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2FCD"/>
    <w:rsid w:val="00F513E4"/>
    <w:rsid w:val="00F56A6F"/>
    <w:rsid w:val="00F5709C"/>
    <w:rsid w:val="00F64EF1"/>
    <w:rsid w:val="00F8525A"/>
    <w:rsid w:val="00F8765F"/>
    <w:rsid w:val="00F90767"/>
    <w:rsid w:val="00F90830"/>
    <w:rsid w:val="00F91190"/>
    <w:rsid w:val="00FA685B"/>
    <w:rsid w:val="00FB0C01"/>
    <w:rsid w:val="00FB0E13"/>
    <w:rsid w:val="00FC18F2"/>
    <w:rsid w:val="00FC39E5"/>
    <w:rsid w:val="00FC3A78"/>
    <w:rsid w:val="00FD1005"/>
    <w:rsid w:val="00FD3180"/>
    <w:rsid w:val="00FD6C75"/>
    <w:rsid w:val="00FE6999"/>
    <w:rsid w:val="00FE71B3"/>
    <w:rsid w:val="00FF2306"/>
    <w:rsid w:val="00FF42C5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locked="1"/>
    <w:lsdException w:name="annotation text" w:semiHidden="1" w:uiPriority="99" w:unhideWhenUsed="1"/>
    <w:lsdException w:name="header" w:locked="1"/>
    <w:lsdException w:name="footer" w:locked="1"/>
    <w:lsdException w:name="index heading" w:semiHidden="1" w:uiPriority="99" w:unhideWhenUsed="1"/>
    <w:lsdException w:name="caption" w:lock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lock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semiHidden="1" w:uiPriority="99" w:unhideWhenUs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2A43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747"/>
    <w:pPr>
      <w:numPr>
        <w:numId w:val="31"/>
      </w:numPr>
      <w:spacing w:before="480"/>
      <w:contextualSpacing/>
      <w:jc w:val="left"/>
      <w:outlineLvl w:val="0"/>
    </w:pPr>
    <w:rPr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747"/>
    <w:pPr>
      <w:numPr>
        <w:ilvl w:val="1"/>
        <w:numId w:val="31"/>
      </w:numPr>
      <w:spacing w:before="200"/>
      <w:jc w:val="left"/>
      <w:outlineLvl w:val="1"/>
    </w:pPr>
    <w:rPr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747"/>
    <w:pPr>
      <w:numPr>
        <w:ilvl w:val="2"/>
        <w:numId w:val="31"/>
      </w:numPr>
      <w:spacing w:before="200" w:line="271" w:lineRule="auto"/>
      <w:jc w:val="left"/>
      <w:outlineLvl w:val="2"/>
    </w:pPr>
    <w:rPr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1747"/>
    <w:pPr>
      <w:numPr>
        <w:ilvl w:val="3"/>
        <w:numId w:val="31"/>
      </w:numPr>
      <w:spacing w:before="200"/>
      <w:jc w:val="left"/>
      <w:outlineLvl w:val="3"/>
    </w:pPr>
    <w:rPr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4566"/>
    <w:pPr>
      <w:spacing w:before="200"/>
      <w:outlineLvl w:val="4"/>
    </w:pPr>
    <w:rPr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1747"/>
    <w:pPr>
      <w:numPr>
        <w:ilvl w:val="5"/>
        <w:numId w:val="31"/>
      </w:numPr>
      <w:spacing w:line="271" w:lineRule="auto"/>
      <w:jc w:val="left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4566"/>
    <w:pPr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4566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4566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1F8"/>
    <w:rPr>
      <w:b/>
      <w:bCs/>
      <w:color w:val="33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71F8"/>
    <w:rPr>
      <w:b/>
      <w:bCs/>
      <w:color w:val="4D4D4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1F8"/>
    <w:rPr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71F8"/>
    <w:rPr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4566"/>
    <w:rPr>
      <w:rFonts w:ascii="Times New Roman" w:hAnsi="Times New Roman" w:cs="Times New Roman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671F8"/>
    <w:rPr>
      <w:b/>
      <w:bCs/>
      <w:i/>
      <w:iCs/>
      <w:color w:val="7F7F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4566"/>
    <w:rPr>
      <w:rFonts w:ascii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4566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4566"/>
    <w:rPr>
      <w:rFonts w:ascii="Times New Roman" w:hAnsi="Times New Roman" w:cs="Times New Roman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1F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014566"/>
    <w:rPr>
      <w:i/>
      <w:smallCaps/>
      <w:spacing w:val="5"/>
    </w:rPr>
  </w:style>
  <w:style w:type="paragraph" w:customStyle="1" w:styleId="ECHRHeader">
    <w:name w:val="ECHR_Header"/>
    <w:aliases w:val="Ju_Header"/>
    <w:basedOn w:val="Header"/>
    <w:uiPriority w:val="99"/>
    <w:rsid w:val="00014566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sz w:val="18"/>
    </w:rPr>
  </w:style>
  <w:style w:type="paragraph" w:customStyle="1" w:styleId="OpiPara">
    <w:name w:val="Opi_Para"/>
    <w:basedOn w:val="Normal"/>
    <w:uiPriority w:val="99"/>
    <w:rsid w:val="00C621C2"/>
    <w:pPr>
      <w:ind w:firstLine="284"/>
    </w:pPr>
  </w:style>
  <w:style w:type="character" w:styleId="Strong">
    <w:name w:val="Strong"/>
    <w:basedOn w:val="DefaultParagraphFont"/>
    <w:uiPriority w:val="99"/>
    <w:qFormat/>
    <w:rsid w:val="00014566"/>
    <w:rPr>
      <w:rFonts w:cs="Times New Roman"/>
      <w:b/>
    </w:rPr>
  </w:style>
  <w:style w:type="paragraph" w:styleId="NoSpacing">
    <w:name w:val="No Spacing"/>
    <w:basedOn w:val="Normal"/>
    <w:link w:val="NoSpacingChar"/>
    <w:uiPriority w:val="99"/>
    <w:qFormat/>
    <w:rsid w:val="00014566"/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semiHidden/>
    <w:locked/>
    <w:rsid w:val="00014566"/>
    <w:rPr>
      <w:rFonts w:eastAsia="Times New Roman" w:cs="Times New Roman"/>
    </w:rPr>
  </w:style>
  <w:style w:type="paragraph" w:customStyle="1" w:styleId="JuParaSub">
    <w:name w:val="Ju_Para_Sub"/>
    <w:basedOn w:val="Normal"/>
    <w:uiPriority w:val="99"/>
    <w:rsid w:val="00C621C2"/>
    <w:pPr>
      <w:ind w:left="284" w:firstLine="284"/>
    </w:pPr>
  </w:style>
  <w:style w:type="paragraph" w:customStyle="1" w:styleId="OpiParaSub">
    <w:name w:val="Opi_Para_Sub"/>
    <w:basedOn w:val="JuParaSub"/>
    <w:uiPriority w:val="99"/>
    <w:rsid w:val="00014566"/>
  </w:style>
  <w:style w:type="paragraph" w:customStyle="1" w:styleId="OpiQuot">
    <w:name w:val="Opi_Quot"/>
    <w:basedOn w:val="ECHRParaQuote"/>
    <w:uiPriority w:val="99"/>
    <w:rsid w:val="00014566"/>
  </w:style>
  <w:style w:type="paragraph" w:customStyle="1" w:styleId="OpiQuotSub">
    <w:name w:val="Opi_Quot_Sub"/>
    <w:basedOn w:val="JuQuotSub"/>
    <w:uiPriority w:val="99"/>
    <w:rsid w:val="00014566"/>
  </w:style>
  <w:style w:type="paragraph" w:customStyle="1" w:styleId="ECHRTitleCentre3">
    <w:name w:val="ECHR_Title_Centre_3"/>
    <w:aliases w:val="Ju_H_Article"/>
    <w:basedOn w:val="Normal"/>
    <w:next w:val="ECHRParaQuote"/>
    <w:uiPriority w:val="99"/>
    <w:rsid w:val="00014566"/>
    <w:pPr>
      <w:keepNext/>
      <w:keepLines/>
      <w:spacing w:before="240" w:after="120"/>
      <w:jc w:val="center"/>
      <w:outlineLvl w:val="3"/>
    </w:pPr>
    <w:rPr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99"/>
    <w:rsid w:val="00014566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QuotSub">
    <w:name w:val="Ju_Quot_Sub"/>
    <w:basedOn w:val="ECHRParaQuote"/>
    <w:uiPriority w:val="99"/>
    <w:rsid w:val="00014566"/>
    <w:pPr>
      <w:ind w:left="567"/>
    </w:pPr>
  </w:style>
  <w:style w:type="paragraph" w:customStyle="1" w:styleId="JuInitialled">
    <w:name w:val="Ju_Initialled"/>
    <w:basedOn w:val="Normal"/>
    <w:uiPriority w:val="99"/>
    <w:rsid w:val="00014566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99"/>
    <w:rsid w:val="00014566"/>
    <w:pPr>
      <w:outlineLvl w:val="1"/>
    </w:pPr>
    <w:rPr>
      <w:bCs w:val="0"/>
    </w:rPr>
  </w:style>
  <w:style w:type="character" w:customStyle="1" w:styleId="JUNAMES">
    <w:name w:val="JU_NAMES"/>
    <w:uiPriority w:val="99"/>
    <w:rsid w:val="00014566"/>
    <w:rPr>
      <w:smallCaps/>
    </w:rPr>
  </w:style>
  <w:style w:type="paragraph" w:customStyle="1" w:styleId="OpiTranslation">
    <w:name w:val="Opi_Translation"/>
    <w:basedOn w:val="Normal"/>
    <w:next w:val="OpiPara"/>
    <w:uiPriority w:val="99"/>
    <w:rsid w:val="00014566"/>
    <w:pPr>
      <w:jc w:val="center"/>
      <w:outlineLvl w:val="0"/>
    </w:pPr>
    <w:rPr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01456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014566"/>
    <w:rPr>
      <w:rFonts w:ascii="Times New Roman" w:hAnsi="Times New Roman" w:cs="Times New Roman"/>
      <w:spacing w:val="5"/>
      <w:sz w:val="52"/>
      <w:szCs w:val="52"/>
    </w:rPr>
  </w:style>
  <w:style w:type="paragraph" w:customStyle="1" w:styleId="ECHRHeading3">
    <w:name w:val="ECHR_Heading_3"/>
    <w:aliases w:val="Ju_H_1."/>
    <w:basedOn w:val="Heading3"/>
    <w:next w:val="Normal"/>
    <w:uiPriority w:val="99"/>
    <w:rsid w:val="00014566"/>
    <w:pPr>
      <w:keepNext/>
      <w:keepLines/>
      <w:numPr>
        <w:ilvl w:val="0"/>
        <w:numId w:val="0"/>
      </w:numPr>
      <w:tabs>
        <w:tab w:val="left" w:pos="731"/>
      </w:tabs>
      <w:spacing w:before="240" w:after="120" w:line="240" w:lineRule="auto"/>
      <w:ind w:left="732" w:hanging="301"/>
      <w:jc w:val="both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Normal"/>
    <w:uiPriority w:val="99"/>
    <w:rsid w:val="00014566"/>
    <w:pPr>
      <w:keepNext/>
      <w:keepLines/>
      <w:numPr>
        <w:ilvl w:val="0"/>
        <w:numId w:val="0"/>
      </w:numPr>
      <w:tabs>
        <w:tab w:val="left" w:pos="975"/>
      </w:tabs>
      <w:spacing w:before="240" w:after="120"/>
      <w:ind w:left="975" w:hanging="340"/>
      <w:jc w:val="both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99"/>
    <w:rsid w:val="0001456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Normal"/>
    <w:uiPriority w:val="99"/>
    <w:rsid w:val="00014566"/>
    <w:pPr>
      <w:keepNext/>
      <w:keepLines/>
      <w:numPr>
        <w:ilvl w:val="0"/>
        <w:numId w:val="0"/>
      </w:numPr>
      <w:tabs>
        <w:tab w:val="left" w:pos="1372"/>
      </w:tabs>
      <w:spacing w:before="240" w:after="120" w:line="240" w:lineRule="auto"/>
      <w:ind w:left="1373" w:hanging="335"/>
      <w:jc w:val="both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99"/>
    <w:rsid w:val="00014566"/>
    <w:pPr>
      <w:keepNext/>
      <w:keepLines/>
      <w:spacing w:before="240" w:after="120"/>
      <w:ind w:left="1236"/>
    </w:pPr>
    <w:rPr>
      <w:sz w:val="20"/>
    </w:rPr>
  </w:style>
  <w:style w:type="paragraph" w:customStyle="1" w:styleId="OpiH1">
    <w:name w:val="Opi_H_1"/>
    <w:basedOn w:val="ECHRHeading2"/>
    <w:uiPriority w:val="99"/>
    <w:rsid w:val="00014566"/>
    <w:pPr>
      <w:ind w:left="635" w:hanging="357"/>
      <w:outlineLvl w:val="2"/>
    </w:pPr>
  </w:style>
  <w:style w:type="paragraph" w:customStyle="1" w:styleId="OpiHa0">
    <w:name w:val="Opi_H_a"/>
    <w:basedOn w:val="ECHRHeading3"/>
    <w:uiPriority w:val="99"/>
    <w:rsid w:val="00014566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99"/>
    <w:rsid w:val="00014566"/>
    <w:pPr>
      <w:ind w:left="1037" w:hanging="357"/>
      <w:outlineLvl w:val="4"/>
    </w:pPr>
    <w:rPr>
      <w:b w:val="0"/>
      <w:i/>
    </w:rPr>
  </w:style>
  <w:style w:type="paragraph" w:styleId="Header">
    <w:name w:val="header"/>
    <w:basedOn w:val="Normal"/>
    <w:link w:val="HeaderChar"/>
    <w:uiPriority w:val="9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4752"/>
    <w:rPr>
      <w:rFonts w:cs="Times New Roman"/>
    </w:rPr>
  </w:style>
  <w:style w:type="paragraph" w:customStyle="1" w:styleId="ECHRHeading1">
    <w:name w:val="ECHR_Heading_1"/>
    <w:aliases w:val="Ju_H_I_Roman"/>
    <w:basedOn w:val="Heading1"/>
    <w:next w:val="Normal"/>
    <w:uiPriority w:val="99"/>
    <w:rsid w:val="00014566"/>
    <w:pPr>
      <w:keepNext/>
      <w:keepLines/>
      <w:numPr>
        <w:numId w:val="0"/>
      </w:numPr>
      <w:tabs>
        <w:tab w:val="left" w:pos="357"/>
      </w:tabs>
      <w:spacing w:before="360" w:after="240"/>
      <w:ind w:left="357" w:hanging="357"/>
      <w:contextualSpacing w:val="0"/>
      <w:jc w:val="both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99"/>
    <w:rsid w:val="00014566"/>
    <w:pPr>
      <w:keepNext/>
      <w:keepLines/>
      <w:numPr>
        <w:ilvl w:val="0"/>
        <w:numId w:val="0"/>
      </w:numPr>
      <w:tabs>
        <w:tab w:val="left" w:pos="584"/>
      </w:tabs>
      <w:spacing w:before="360" w:after="240"/>
      <w:ind w:left="584" w:hanging="352"/>
      <w:jc w:val="both"/>
    </w:pPr>
    <w:rPr>
      <w:color w:val="auto"/>
      <w:sz w:val="24"/>
    </w:rPr>
  </w:style>
  <w:style w:type="paragraph" w:customStyle="1" w:styleId="DummyStyle">
    <w:name w:val="Dummy_Style"/>
    <w:basedOn w:val="Normal"/>
    <w:uiPriority w:val="99"/>
    <w:semiHidden/>
    <w:rsid w:val="00014566"/>
    <w:rPr>
      <w:color w:val="00B050"/>
    </w:rPr>
  </w:style>
  <w:style w:type="paragraph" w:customStyle="1" w:styleId="JuCase">
    <w:name w:val="Ju_Case"/>
    <w:basedOn w:val="Normal"/>
    <w:next w:val="Normal"/>
    <w:uiPriority w:val="99"/>
    <w:rsid w:val="00D60D87"/>
    <w:pPr>
      <w:ind w:firstLine="284"/>
    </w:pPr>
    <w:rPr>
      <w:b/>
    </w:rPr>
  </w:style>
  <w:style w:type="character" w:styleId="SubtleEmphasis">
    <w:name w:val="Subtle Emphasis"/>
    <w:basedOn w:val="DefaultParagraphFont"/>
    <w:uiPriority w:val="99"/>
    <w:qFormat/>
    <w:rsid w:val="00014566"/>
    <w:rPr>
      <w:i/>
    </w:rPr>
  </w:style>
  <w:style w:type="table" w:customStyle="1" w:styleId="ECHRTable">
    <w:name w:val="ECHR_Table"/>
    <w:uiPriority w:val="99"/>
    <w:rsid w:val="00860B0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Times New Roman" w:hAnsi="Times New Roman" w:cs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rFonts w:cs="Times New Roman"/>
        <w:b/>
      </w:rPr>
    </w:tblStylePr>
    <w:tblStylePr w:type="band2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uiPriority w:val="99"/>
    <w:rsid w:val="004C086C"/>
    <w:rPr>
      <w:rFonts w:ascii="Verdana" w:hAnsi="Verdana"/>
      <w:sz w:val="20"/>
      <w:szCs w:val="20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rFonts w:cs="Times New Roman"/>
        <w:b/>
        <w:color w:val="5F5F5F"/>
      </w:rPr>
    </w:tblStylePr>
  </w:style>
  <w:style w:type="paragraph" w:customStyle="1" w:styleId="ECHRTitle1">
    <w:name w:val="ECHR_Title_1"/>
    <w:aliases w:val="Ju_H_Head"/>
    <w:basedOn w:val="Normal"/>
    <w:next w:val="Normal"/>
    <w:uiPriority w:val="99"/>
    <w:rsid w:val="00014566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basedOn w:val="DefaultParagraphFont"/>
    <w:uiPriority w:val="99"/>
    <w:qFormat/>
    <w:rsid w:val="00014566"/>
    <w:rPr>
      <w:rFonts w:cs="Times New Roman"/>
      <w:b/>
      <w:i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475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4174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1F8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41747"/>
    <w:rPr>
      <w:rFonts w:cs="Times New Roman"/>
      <w:color w:val="0072BC"/>
      <w:u w:val="single"/>
    </w:rPr>
  </w:style>
  <w:style w:type="character" w:styleId="IntenseEmphasis">
    <w:name w:val="Intense Emphasis"/>
    <w:basedOn w:val="DefaultParagraphFont"/>
    <w:uiPriority w:val="99"/>
    <w:qFormat/>
    <w:rsid w:val="00014566"/>
    <w:rPr>
      <w:b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456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014566"/>
    <w:rPr>
      <w:rFonts w:eastAsia="Times New Roman" w:cs="Times New Roman"/>
      <w:b/>
      <w:bCs/>
      <w:i/>
      <w:iCs/>
    </w:rPr>
  </w:style>
  <w:style w:type="character" w:styleId="IntenseReference">
    <w:name w:val="Intense Reference"/>
    <w:basedOn w:val="DefaultParagraphFont"/>
    <w:uiPriority w:val="99"/>
    <w:qFormat/>
    <w:rsid w:val="00014566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014566"/>
    <w:pPr>
      <w:ind w:left="720"/>
      <w:contextualSpacing/>
    </w:pPr>
  </w:style>
  <w:style w:type="table" w:customStyle="1" w:styleId="LtrTableAddress">
    <w:name w:val="Ltr_Table_Address"/>
    <w:uiPriority w:val="99"/>
    <w:rsid w:val="001E6F32"/>
    <w:rPr>
      <w:sz w:val="20"/>
      <w:szCs w:val="20"/>
    </w:rPr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014566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014566"/>
    <w:rPr>
      <w:rFonts w:eastAsia="Times New Roman" w:cs="Times New Roman"/>
      <w:i/>
      <w:iCs/>
    </w:rPr>
  </w:style>
  <w:style w:type="character" w:styleId="SubtleReference">
    <w:name w:val="Subtle Reference"/>
    <w:basedOn w:val="DefaultParagraphFont"/>
    <w:uiPriority w:val="99"/>
    <w:qFormat/>
    <w:rsid w:val="00014566"/>
    <w:rPr>
      <w:smallCaps/>
    </w:rPr>
  </w:style>
  <w:style w:type="table" w:styleId="TableGrid">
    <w:name w:val="Table Grid"/>
    <w:basedOn w:val="TableNormal"/>
    <w:uiPriority w:val="99"/>
    <w:semiHidden/>
    <w:rsid w:val="00941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qFormat/>
    <w:rsid w:val="00014566"/>
    <w:pPr>
      <w:numPr>
        <w:numId w:val="0"/>
      </w:numPr>
      <w:jc w:val="both"/>
      <w:outlineLvl w:val="9"/>
    </w:pPr>
    <w:rPr>
      <w:color w:val="474747"/>
    </w:rPr>
  </w:style>
  <w:style w:type="table" w:customStyle="1" w:styleId="UGTable">
    <w:name w:val="UG_Table"/>
    <w:uiPriority w:val="99"/>
    <w:rsid w:val="00801300"/>
    <w:rPr>
      <w:sz w:val="20"/>
      <w:szCs w:val="20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uiPriority w:val="99"/>
    <w:rsid w:val="00801300"/>
    <w:rPr>
      <w:sz w:val="20"/>
      <w:szCs w:val="20"/>
    </w:rPr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uiPriority w:val="99"/>
    <w:rsid w:val="00810B38"/>
    <w:rPr>
      <w:color w:val="000000"/>
      <w:sz w:val="18"/>
      <w:szCs w:val="20"/>
    </w:rPr>
    <w:tblPr>
      <w:tblInd w:w="0" w:type="dxa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  <w:contextualSpacing/>
        <w:jc w:val="center"/>
      </w:pPr>
      <w:rPr>
        <w:rFonts w:cs="Times New Roman"/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ECHRTableFax">
    <w:name w:val="ECHR_Table_Fax"/>
    <w:uiPriority w:val="99"/>
    <w:rsid w:val="00893576"/>
    <w:rPr>
      <w:color w:val="000000"/>
      <w:sz w:val="20"/>
      <w:szCs w:val="2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uiPriority w:val="99"/>
    <w:rsid w:val="00210338"/>
    <w:rPr>
      <w:sz w:val="20"/>
      <w:szCs w:val="20"/>
    </w:rPr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uiPriority w:val="99"/>
    <w:rsid w:val="0090506B"/>
    <w:rPr>
      <w:sz w:val="20"/>
      <w:szCs w:val="20"/>
    </w:rPr>
    <w:tblPr>
      <w:jc w:val="center"/>
      <w:tblInd w:w="0" w:type="dxa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blStylePr w:type="firstRow">
      <w:pPr>
        <w:spacing w:beforeLines="0"/>
        <w:ind w:leftChars="0" w:left="0"/>
      </w:pPr>
      <w:rPr>
        <w:rFonts w:ascii="Times New Roman" w:hAnsi="Times New Roman" w:cs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b/>
      <w:bCs/>
      <w:color w:val="474747"/>
      <w:szCs w:val="24"/>
    </w:rPr>
  </w:style>
  <w:style w:type="paragraph" w:customStyle="1" w:styleId="ECHRParaQuote">
    <w:name w:val="ECHR_Para_Quote"/>
    <w:aliases w:val="Ju_Quot"/>
    <w:basedOn w:val="Normal"/>
    <w:uiPriority w:val="99"/>
    <w:rsid w:val="00014566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JuParaChar"/>
    <w:uiPriority w:val="99"/>
    <w:rsid w:val="00C621C2"/>
    <w:pPr>
      <w:ind w:firstLine="284"/>
    </w:pPr>
  </w:style>
  <w:style w:type="table" w:customStyle="1" w:styleId="ECHRTableSimpleBox">
    <w:name w:val="ECHR_Table_Simple_Box"/>
    <w:uiPriority w:val="99"/>
    <w:rsid w:val="00AE354C"/>
    <w:rPr>
      <w:sz w:val="20"/>
      <w:szCs w:val="20"/>
    </w:rPr>
    <w:tblPr>
      <w:tblInd w:w="0" w:type="dxa"/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uiPriority w:val="99"/>
    <w:rsid w:val="00F218EF"/>
    <w:rPr>
      <w:sz w:val="20"/>
      <w:szCs w:val="20"/>
    </w:rPr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 w:cs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uiPriority w:val="99"/>
    <w:rsid w:val="005474E7"/>
    <w:rPr>
      <w:color w:val="636363"/>
      <w:sz w:val="18"/>
      <w:szCs w:val="20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rFonts w:cs="Times New Roman"/>
        <w:b/>
      </w:rPr>
    </w:tblStylePr>
    <w:tblStylePr w:type="lastCol">
      <w:pPr>
        <w:jc w:val="right"/>
      </w:pPr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uiPriority w:val="99"/>
    <w:rsid w:val="00520BAA"/>
    <w:rPr>
      <w:sz w:val="20"/>
      <w:szCs w:val="20"/>
    </w:rPr>
    <w:tblPr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cs="Times New Roman"/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uiPriority w:val="99"/>
    <w:rsid w:val="00661971"/>
    <w:rPr>
      <w:sz w:val="20"/>
      <w:szCs w:val="20"/>
    </w:rPr>
    <w:tblPr>
      <w:tblInd w:w="-680" w:type="dxa"/>
      <w:tblBorders>
        <w:bottom w:val="single" w:sz="6" w:space="0" w:color="949494"/>
      </w:tblBorders>
      <w:tblCellMar>
        <w:top w:w="0" w:type="dxa"/>
        <w:left w:w="0" w:type="dxa"/>
        <w:bottom w:w="28" w:type="dxa"/>
        <w:right w:w="0" w:type="dxa"/>
      </w:tblCellMar>
    </w:tblPr>
    <w:tblStylePr w:type="lastCol">
      <w:pPr>
        <w:jc w:val="both"/>
      </w:pPr>
      <w:rPr>
        <w:rFonts w:cs="Times New Roman"/>
      </w:rPr>
    </w:tblStylePr>
  </w:style>
  <w:style w:type="table" w:customStyle="1" w:styleId="ECHRTableOddBanded">
    <w:name w:val="ECHR_Table_Odd_Banded"/>
    <w:uiPriority w:val="99"/>
    <w:rsid w:val="00860B0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Times New Roman" w:hAnsi="Times New Roman" w:cs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rFonts w:cs="Times New Roman"/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99"/>
    <w:rsid w:val="00DF0549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uiPriority w:val="99"/>
    <w:rsid w:val="00B52BE0"/>
    <w:rPr>
      <w:sz w:val="20"/>
      <w:szCs w:val="20"/>
    </w:rPr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rPr>
        <w:rFonts w:cs="Times New Roman"/>
      </w:r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99"/>
    <w:rsid w:val="00C621C2"/>
    <w:pPr>
      <w:ind w:left="340" w:hanging="340"/>
    </w:pPr>
  </w:style>
  <w:style w:type="paragraph" w:customStyle="1" w:styleId="JuSigned">
    <w:name w:val="Ju_Signed"/>
    <w:basedOn w:val="Normal"/>
    <w:next w:val="JuParaLast"/>
    <w:uiPriority w:val="99"/>
    <w:rsid w:val="00C621C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Normal"/>
    <w:uiPriority w:val="99"/>
    <w:rsid w:val="00014566"/>
    <w:pPr>
      <w:keepNext/>
      <w:keepLines/>
      <w:spacing w:before="240"/>
      <w:ind w:firstLine="284"/>
    </w:pPr>
  </w:style>
  <w:style w:type="paragraph" w:customStyle="1" w:styleId="JuCourt">
    <w:name w:val="Ju_Court"/>
    <w:basedOn w:val="Normal"/>
    <w:next w:val="Normal"/>
    <w:uiPriority w:val="99"/>
    <w:rsid w:val="0001456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character" w:styleId="PageNumber">
    <w:name w:val="page number"/>
    <w:basedOn w:val="DefaultParagraphFont"/>
    <w:uiPriority w:val="99"/>
    <w:semiHidden/>
    <w:rsid w:val="00014566"/>
    <w:rPr>
      <w:rFonts w:cs="Times New Roman"/>
      <w:sz w:val="18"/>
    </w:rPr>
  </w:style>
  <w:style w:type="paragraph" w:customStyle="1" w:styleId="JuLista">
    <w:name w:val="Ju_List_a"/>
    <w:basedOn w:val="Normal"/>
    <w:uiPriority w:val="99"/>
    <w:rsid w:val="00C621C2"/>
    <w:pPr>
      <w:ind w:left="346"/>
    </w:pPr>
  </w:style>
  <w:style w:type="paragraph" w:customStyle="1" w:styleId="JuListi">
    <w:name w:val="Ju_List_i"/>
    <w:basedOn w:val="Normal"/>
    <w:next w:val="JuLista"/>
    <w:uiPriority w:val="99"/>
    <w:rsid w:val="00014566"/>
    <w:pPr>
      <w:ind w:left="794"/>
    </w:pPr>
  </w:style>
  <w:style w:type="character" w:styleId="CommentReference">
    <w:name w:val="annotation reference"/>
    <w:basedOn w:val="DefaultParagraphFont"/>
    <w:uiPriority w:val="99"/>
    <w:semiHidden/>
    <w:rsid w:val="0001456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4566"/>
    <w:rPr>
      <w:rFonts w:eastAsia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4566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01456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4566"/>
    <w:rPr>
      <w:rFonts w:eastAsia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rsid w:val="00014566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566"/>
    <w:rPr>
      <w:rFonts w:ascii="Tahoma" w:hAnsi="Tahoma" w:cs="Tahoma"/>
      <w:sz w:val="20"/>
      <w:shd w:val="clear" w:color="auto" w:fill="000080"/>
    </w:rPr>
  </w:style>
  <w:style w:type="character" w:customStyle="1" w:styleId="JuNames0">
    <w:name w:val="Ju_Names"/>
    <w:uiPriority w:val="99"/>
    <w:rsid w:val="00014566"/>
    <w:rPr>
      <w:smallCaps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28"/>
      </w:numPr>
    </w:pPr>
  </w:style>
  <w:style w:type="character" w:customStyle="1" w:styleId="JuITMark">
    <w:name w:val="Ju_ITMark"/>
    <w:basedOn w:val="DefaultParagraphFont"/>
    <w:uiPriority w:val="99"/>
    <w:rsid w:val="00014566"/>
    <w:rPr>
      <w:rFonts w:cs="Times New Roman"/>
      <w:color w:val="auto"/>
      <w:sz w:val="14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4566"/>
    <w:pPr>
      <w:spacing w:after="600"/>
    </w:pPr>
    <w:rPr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014566"/>
    <w:rPr>
      <w:rFonts w:ascii="Times New Roman" w:hAnsi="Times New Roman" w:cs="Times New Roman"/>
      <w:i/>
      <w:iCs/>
      <w:spacing w:val="13"/>
      <w:sz w:val="24"/>
      <w:szCs w:val="24"/>
    </w:rPr>
  </w:style>
  <w:style w:type="paragraph" w:styleId="Bibliography">
    <w:name w:val="Bibliography"/>
    <w:basedOn w:val="Normal"/>
    <w:next w:val="Normal"/>
    <w:uiPriority w:val="99"/>
    <w:semiHidden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4566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14566"/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14566"/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14566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14566"/>
    <w:rPr>
      <w:rFonts w:eastAsia="Times New Roman" w:cs="Times New Roman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0072BC"/>
      </w:rPr>
      <w:tblPr/>
      <w:tcPr>
        <w:shd w:val="clear" w:color="auto" w:fill="000000"/>
      </w:tcPr>
    </w:tblStylePr>
    <w:tblStylePr w:type="lastCol">
      <w:rPr>
        <w:rFonts w:cs="Times New Roman"/>
        <w:color w:val="0072BC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/>
    </w:tcPr>
    <w:tblStylePr w:type="firstRow">
      <w:rPr>
        <w:rFonts w:cs="Times New Roman"/>
        <w:b/>
        <w:bCs/>
      </w:rPr>
      <w:tblPr/>
      <w:tcPr>
        <w:shd w:val="clear" w:color="auto" w:fill="7EC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ECBFF"/>
      </w:tcPr>
    </w:tblStylePr>
    <w:tblStylePr w:type="firstCol">
      <w:rPr>
        <w:rFonts w:cs="Times New Roman"/>
        <w:color w:val="0072BC"/>
      </w:rPr>
      <w:tblPr/>
      <w:tcPr>
        <w:shd w:val="clear" w:color="auto" w:fill="00548C"/>
      </w:tcPr>
    </w:tblStylePr>
    <w:tblStylePr w:type="lastCol">
      <w:rPr>
        <w:rFonts w:cs="Times New Roman"/>
        <w:color w:val="0072BC"/>
      </w:rPr>
      <w:tblPr/>
      <w:tcPr>
        <w:shd w:val="clear" w:color="auto" w:fill="00548C"/>
      </w:tc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/>
    </w:tcPr>
    <w:tblStylePr w:type="firstRow">
      <w:rPr>
        <w:rFonts w:cs="Times New Roman"/>
        <w:b/>
        <w:bCs/>
      </w:rPr>
      <w:tblPr/>
      <w:tcPr>
        <w:shd w:val="clear" w:color="auto" w:fill="FF7F7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7F7F"/>
      </w:tcPr>
    </w:tblStylePr>
    <w:tblStylePr w:type="firstCol">
      <w:rPr>
        <w:rFonts w:cs="Times New Roman"/>
        <w:color w:val="0072BC"/>
      </w:rPr>
      <w:tblPr/>
      <w:tcPr>
        <w:shd w:val="clear" w:color="auto" w:fill="8F0000"/>
      </w:tcPr>
    </w:tblStylePr>
    <w:tblStylePr w:type="lastCol">
      <w:rPr>
        <w:rFonts w:cs="Times New Roman"/>
        <w:color w:val="0072BC"/>
      </w:rPr>
      <w:tblPr/>
      <w:tcPr>
        <w:shd w:val="clear" w:color="auto" w:fill="8F0000"/>
      </w:tc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rFonts w:cs="Times New Roman"/>
        <w:b/>
        <w:bCs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cs="Times New Roman"/>
        <w:color w:val="0072BC"/>
      </w:rPr>
      <w:tblPr/>
      <w:tcPr>
        <w:shd w:val="clear" w:color="auto" w:fill="474747"/>
      </w:tcPr>
    </w:tblStylePr>
    <w:tblStylePr w:type="lastCol">
      <w:rPr>
        <w:rFonts w:cs="Times New Roman"/>
        <w:color w:val="0072BC"/>
      </w:rPr>
      <w:tblPr/>
      <w:tcPr>
        <w:shd w:val="clear" w:color="auto" w:fill="474747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/>
    </w:tcPr>
    <w:tblStylePr w:type="firstRow">
      <w:rPr>
        <w:rFonts w:cs="Times New Roman"/>
        <w:b/>
        <w:bCs/>
      </w:rPr>
      <w:tblPr/>
      <w:tcPr>
        <w:shd w:val="clear" w:color="auto" w:fill="D5D5D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5D5D5"/>
      </w:tcPr>
    </w:tblStylePr>
    <w:tblStylePr w:type="firstCol">
      <w:rPr>
        <w:rFonts w:cs="Times New Roman"/>
        <w:color w:val="0072BC"/>
      </w:rPr>
      <w:tblPr/>
      <w:tcPr>
        <w:shd w:val="clear" w:color="auto" w:fill="707070"/>
      </w:tcPr>
    </w:tblStylePr>
    <w:tblStylePr w:type="lastCol">
      <w:rPr>
        <w:rFonts w:cs="Times New Roman"/>
        <w:color w:val="0072BC"/>
      </w:rPr>
      <w:tblPr/>
      <w:tcPr>
        <w:shd w:val="clear" w:color="auto" w:fill="707070"/>
      </w:tc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rFonts w:cs="Times New Roman"/>
        <w:b/>
        <w:bCs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cs="Times New Roman"/>
        <w:color w:val="0072BC"/>
      </w:rPr>
      <w:tblPr/>
      <w:tcPr>
        <w:shd w:val="clear" w:color="auto" w:fill="474747"/>
      </w:tcPr>
    </w:tblStylePr>
    <w:tblStylePr w:type="lastCol">
      <w:rPr>
        <w:rFonts w:cs="Times New Roman"/>
        <w:color w:val="0072BC"/>
      </w:rPr>
      <w:tblPr/>
      <w:tcPr>
        <w:shd w:val="clear" w:color="auto" w:fill="474747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  <w:tblStylePr w:type="firstRow">
      <w:rPr>
        <w:rFonts w:cs="Times New Roman"/>
        <w:b/>
        <w:bCs/>
      </w:rPr>
      <w:tblPr/>
      <w:tcPr>
        <w:shd w:val="clear" w:color="auto" w:fill="B7B7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7B7B7"/>
      </w:tcPr>
    </w:tblStylePr>
    <w:tblStylePr w:type="firstCol">
      <w:rPr>
        <w:rFonts w:cs="Times New Roman"/>
        <w:color w:val="0072BC"/>
      </w:rPr>
      <w:tblPr/>
      <w:tcPr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rFonts w:cs="Times New Roman"/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rFonts w:cs="Times New Roman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rFonts w:cs="Times New Roman"/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rFonts w:cs="Times New Roman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rPr>
        <w:rFonts w:cs="Times New Roman"/>
      </w:rPr>
      <w:tblPr/>
      <w:tcPr>
        <w:shd w:val="clear" w:color="auto" w:fill="7ECB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rPr>
        <w:rFonts w:cs="Times New Roman"/>
      </w:rPr>
      <w:tblPr/>
      <w:tcPr>
        <w:shd w:val="clear" w:color="auto" w:fill="FF7F7F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rPr>
        <w:rFonts w:cs="Times New Roman"/>
      </w:rPr>
      <w:tblPr/>
      <w:tcPr>
        <w:shd w:val="clear" w:color="auto" w:fill="D5D5D5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rPr>
        <w:rFonts w:cs="Times New Roman"/>
      </w:rPr>
      <w:tblPr/>
      <w:tcPr>
        <w:shd w:val="clear" w:color="auto" w:fill="B7B7B7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14566"/>
    <w:rPr>
      <w:rFonts w:eastAsia="Times New Roman" w:cs="Times New Roman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014566"/>
    <w:rPr>
      <w:rFonts w:eastAsia="Times New Roman" w:cs="Times New Roman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14566"/>
    <w:rPr>
      <w:rFonts w:eastAsia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456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b/>
      <w:bCs/>
    </w:rPr>
  </w:style>
  <w:style w:type="table" w:styleId="LightGrid">
    <w:name w:val="Light Grid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bottom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bottom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  <w:rPr>
      <w:rFonts w:cs="Times New Roman"/>
    </w:rPr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22"/>
      </w:numPr>
      <w:tabs>
        <w:tab w:val="clear" w:pos="851"/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23"/>
      </w:numPr>
      <w:tabs>
        <w:tab w:val="clear" w:pos="964"/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24"/>
      </w:numPr>
      <w:tabs>
        <w:tab w:val="clear" w:pos="851"/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25"/>
      </w:numPr>
      <w:tabs>
        <w:tab w:val="clear" w:pos="964"/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26"/>
      </w:numPr>
      <w:tabs>
        <w:tab w:val="clear" w:pos="851"/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27"/>
      </w:numPr>
      <w:tabs>
        <w:tab w:val="clear" w:pos="964"/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28"/>
      </w:numPr>
      <w:tabs>
        <w:tab w:val="clear" w:pos="851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29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30"/>
      </w:numPr>
      <w:tabs>
        <w:tab w:val="num" w:pos="1492"/>
      </w:tabs>
      <w:ind w:left="1492"/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14566"/>
    <w:rPr>
      <w:rFonts w:ascii="Consolas" w:hAnsi="Consolas" w:cs="Consolas"/>
      <w:lang w:val="ru-RU" w:eastAsia="ru-RU"/>
    </w:rPr>
  </w:style>
  <w:style w:type="table" w:styleId="MediumGrid1">
    <w:name w:val="Medium Grid 1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FF2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DFD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  <w:color w:val="000000"/>
      </w:rPr>
      <w:tblPr/>
      <w:tcPr>
        <w:shd w:val="clear" w:color="auto" w:fill="F4F4F4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  <w:color w:val="000000"/>
      </w:rPr>
      <w:tblPr/>
      <w:tcPr>
        <w:shd w:val="clear" w:color="auto" w:fill="ED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rPr>
        <w:rFonts w:cs="Times New Roman"/>
      </w:rPr>
      <w:tblPr/>
      <w:tcPr>
        <w:shd w:val="clear" w:color="auto" w:fill="AFDFFF"/>
      </w:tcPr>
    </w:tblStylePr>
    <w:tblStylePr w:type="band1Horz">
      <w:rPr>
        <w:rFonts w:cs="Times New Roman"/>
      </w:rPr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bottom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rPr>
        <w:rFonts w:cs="Times New Roman"/>
      </w:rPr>
      <w:tblPr/>
      <w:tcPr>
        <w:shd w:val="clear" w:color="auto" w:fill="FFB0B0"/>
      </w:tcPr>
    </w:tblStylePr>
    <w:tblStylePr w:type="band1Horz">
      <w:rPr>
        <w:rFonts w:cs="Times New Roman"/>
      </w:rPr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bottom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D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0B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14566"/>
    <w:rPr>
      <w:rFonts w:ascii="Times New Roman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14566"/>
    <w:rPr>
      <w:rFonts w:eastAsia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14566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4566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14566"/>
    <w:rPr>
      <w:rFonts w:eastAsia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14566"/>
    <w:rPr>
      <w:rFonts w:eastAsia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1456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1456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character" w:customStyle="1" w:styleId="JuParaChar">
    <w:name w:val="Ju_Para Char"/>
    <w:basedOn w:val="DefaultParagraphFont"/>
    <w:link w:val="ECHRPara"/>
    <w:uiPriority w:val="99"/>
    <w:locked/>
    <w:rsid w:val="005F3051"/>
    <w:rPr>
      <w:rFonts w:eastAsia="Times New Roman" w:cs="Times New Roman"/>
      <w:sz w:val="24"/>
    </w:rPr>
  </w:style>
  <w:style w:type="character" w:customStyle="1" w:styleId="sb8d990e2">
    <w:name w:val="sb8d990e2"/>
    <w:basedOn w:val="DefaultParagraphFont"/>
    <w:uiPriority w:val="99"/>
    <w:rsid w:val="00DA2E5D"/>
    <w:rPr>
      <w:rFonts w:cs="Times New Roman"/>
    </w:rPr>
  </w:style>
  <w:style w:type="numbering" w:styleId="1ai">
    <w:name w:val="Outline List 1"/>
    <w:basedOn w:val="NoList"/>
    <w:locked/>
    <w:rsid w:val="0044403B"/>
    <w:pPr>
      <w:numPr>
        <w:numId w:val="30"/>
      </w:numPr>
    </w:pPr>
  </w:style>
  <w:style w:type="numbering" w:styleId="111111">
    <w:name w:val="Outline List 2"/>
    <w:basedOn w:val="NoList"/>
    <w:locked/>
    <w:rsid w:val="0044403B"/>
    <w:pPr>
      <w:numPr>
        <w:numId w:val="29"/>
      </w:numPr>
    </w:pPr>
  </w:style>
  <w:style w:type="numbering" w:styleId="ArticleSection">
    <w:name w:val="Outline List 3"/>
    <w:basedOn w:val="NoList"/>
    <w:locked/>
    <w:rsid w:val="0044403B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chr.coe.int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1818</Words>
  <Characters>10363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keywords/>
  <dc:description/>
  <cp:lastModifiedBy/>
  <cp:revision>6</cp:revision>
  <cp:lastPrinted>2014-11-10T07:04:00Z</cp:lastPrinted>
  <dcterms:created xsi:type="dcterms:W3CDTF">2014-10-16T07:53:00Z</dcterms:created>
  <dcterms:modified xsi:type="dcterms:W3CDTF">2014-11-10T07:04:00Z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10011/10</vt:lpwstr>
  </property>
  <property fmtid="{D5CDD505-2E9C-101B-9397-08002B2CF9AE}" pid="4" name="CASEID">
    <vt:lpwstr>624079</vt:lpwstr>
  </property>
  <property fmtid="{D5CDD505-2E9C-101B-9397-08002B2CF9AE}" pid="5" name="OrigTemp">
    <vt:lpwstr>English\Documents\DE02 Judgments and Drafts\DE2.1a DJ joint examination.dotm</vt:lpwstr>
  </property>
  <property fmtid="{D5CDD505-2E9C-101B-9397-08002B2CF9AE}" pid="6" name="LaunchFolder">
    <vt:lpwstr>O:\Templates\</vt:lpwstr>
  </property>
</Properties>
</file>